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B" w:rsidRPr="0051572D" w:rsidRDefault="0053499B" w:rsidP="00983B32">
      <w:pPr>
        <w:pStyle w:val="a4"/>
      </w:pPr>
      <w:bookmarkStart w:id="0" w:name="_GoBack"/>
      <w:bookmarkEnd w:id="0"/>
      <w:r w:rsidRPr="0051572D">
        <w:t>ОПИСАНИЕ НА ПРЕДМЕТ</w:t>
      </w:r>
      <w:r w:rsidRPr="0051572D">
        <w:rPr>
          <w:lang w:val="en-US"/>
        </w:rPr>
        <w:t>A</w:t>
      </w:r>
      <w:r w:rsidRPr="0051572D">
        <w:t xml:space="preserve"> НА ОБЩЕСТВЕНАТА ПОРЪЧКА, ИЗИСКВАНИЯ КЪМ ИЗПЪЛНЕНИЕТО, ТЕХНИЧЕСКА СПЕЦИФИКАЦИЯ</w:t>
      </w:r>
    </w:p>
    <w:p w:rsidR="0053499B" w:rsidRPr="0051572D" w:rsidRDefault="0053499B" w:rsidP="0053499B">
      <w:pPr>
        <w:tabs>
          <w:tab w:val="left" w:pos="374"/>
        </w:tabs>
        <w:ind w:right="79"/>
        <w:jc w:val="both"/>
      </w:pPr>
    </w:p>
    <w:p w:rsidR="0053499B" w:rsidRPr="0051572D" w:rsidRDefault="0053499B" w:rsidP="0053499B"/>
    <w:p w:rsidR="0053499B" w:rsidRDefault="0053499B" w:rsidP="005A0F6A">
      <w:pPr>
        <w:pStyle w:val="Default"/>
        <w:numPr>
          <w:ilvl w:val="0"/>
          <w:numId w:val="1"/>
        </w:numPr>
        <w:tabs>
          <w:tab w:val="left" w:pos="374"/>
        </w:tabs>
        <w:ind w:left="0" w:right="79" w:firstLine="0"/>
        <w:jc w:val="both"/>
        <w:rPr>
          <w:b/>
          <w:bCs/>
          <w:color w:val="auto"/>
        </w:rPr>
      </w:pPr>
      <w:r w:rsidRPr="0051572D">
        <w:rPr>
          <w:b/>
          <w:bCs/>
        </w:rPr>
        <w:t>ПРЕДМЕТ НА ПОРЪЧКАТА:</w:t>
      </w:r>
      <w:r w:rsidRPr="0051572D">
        <w:t xml:space="preserve"> </w:t>
      </w:r>
      <w:r>
        <w:rPr>
          <w:b/>
          <w:bCs/>
          <w:color w:val="auto"/>
        </w:rPr>
        <w:t xml:space="preserve">„ИЗВЪРШВАНЕ НА УСЛУГИ ЗА СЪБИРАНЕ И ИЗВОЗВАНЕ НА СГУРИЯ И ЕДРОГАБАРИТНИ БИТОВИ ОТПАДЪЦИ </w:t>
      </w:r>
      <w:r w:rsidR="00A45177">
        <w:rPr>
          <w:b/>
          <w:bCs/>
          <w:color w:val="auto"/>
        </w:rPr>
        <w:t xml:space="preserve">ОТ НЕРАГЛАМЕНТИРАНИ СМЕТИЩА </w:t>
      </w:r>
      <w:r>
        <w:rPr>
          <w:b/>
          <w:bCs/>
          <w:color w:val="auto"/>
        </w:rPr>
        <w:t>НА ТЕРИТОРИЯТА НА ГР. ПЕРНИК</w:t>
      </w:r>
      <w:r w:rsidRPr="0051572D">
        <w:rPr>
          <w:b/>
          <w:bCs/>
          <w:color w:val="auto"/>
        </w:rPr>
        <w:t>“</w:t>
      </w:r>
    </w:p>
    <w:p w:rsidR="005A0F6A" w:rsidRPr="00D8778A" w:rsidRDefault="005A0F6A" w:rsidP="00544F6F">
      <w:pPr>
        <w:pStyle w:val="Default"/>
        <w:tabs>
          <w:tab w:val="left" w:pos="374"/>
        </w:tabs>
        <w:ind w:right="79" w:firstLine="709"/>
        <w:jc w:val="both"/>
        <w:rPr>
          <w:b/>
          <w:bCs/>
          <w:color w:val="auto"/>
        </w:rPr>
      </w:pPr>
    </w:p>
    <w:p w:rsidR="0053499B" w:rsidRPr="00D9715D" w:rsidRDefault="0053499B" w:rsidP="00544F6F">
      <w:pPr>
        <w:ind w:right="-244" w:firstLine="709"/>
        <w:jc w:val="both"/>
      </w:pPr>
      <w:bookmarkStart w:id="1" w:name="_Toc296612559"/>
      <w:r w:rsidRPr="00D9715D">
        <w:rPr>
          <w:color w:val="000000"/>
        </w:rPr>
        <w:t xml:space="preserve">Предметът на настоящата обществена поръчка </w:t>
      </w:r>
      <w:r w:rsidRPr="00D9715D">
        <w:t>обхваща дейности свързани с ползването на строителна и транспортна техника</w:t>
      </w:r>
      <w:r>
        <w:t xml:space="preserve"> за събиране и извозване на сгурия и едрогабаритни битови отпадъци </w:t>
      </w:r>
      <w:r w:rsidR="00A45177">
        <w:t xml:space="preserve">от нерегламентирани сметища </w:t>
      </w:r>
      <w:r>
        <w:t xml:space="preserve">на територията </w:t>
      </w:r>
      <w:r w:rsidRPr="00D9715D">
        <w:t>на Община Перник.</w:t>
      </w:r>
    </w:p>
    <w:p w:rsidR="0053499B" w:rsidRDefault="0053499B" w:rsidP="0053499B">
      <w:pPr>
        <w:tabs>
          <w:tab w:val="left" w:pos="1309"/>
        </w:tabs>
        <w:ind w:right="79"/>
        <w:jc w:val="both"/>
        <w:rPr>
          <w:b/>
          <w:bCs/>
        </w:rPr>
      </w:pPr>
    </w:p>
    <w:p w:rsidR="0053499B" w:rsidRPr="006F7E67" w:rsidRDefault="0053499B" w:rsidP="0053499B">
      <w:pPr>
        <w:tabs>
          <w:tab w:val="left" w:pos="1309"/>
        </w:tabs>
        <w:ind w:right="79"/>
        <w:jc w:val="both"/>
        <w:rPr>
          <w:b/>
          <w:bCs/>
        </w:rPr>
      </w:pPr>
      <w:r w:rsidRPr="0051572D">
        <w:rPr>
          <w:b/>
          <w:bCs/>
        </w:rPr>
        <w:t>2. СРОК И МЯСТО ЗА ИЗПЪЛНЕНИЕ</w:t>
      </w:r>
      <w:r w:rsidRPr="006F7E67">
        <w:rPr>
          <w:b/>
          <w:bCs/>
        </w:rPr>
        <w:t xml:space="preserve">: </w:t>
      </w:r>
    </w:p>
    <w:p w:rsidR="0053499B" w:rsidRPr="0051572D" w:rsidRDefault="0053499B" w:rsidP="0053499B">
      <w:pPr>
        <w:tabs>
          <w:tab w:val="left" w:pos="1309"/>
        </w:tabs>
        <w:ind w:right="79"/>
        <w:jc w:val="both"/>
        <w:rPr>
          <w:b/>
          <w:bCs/>
        </w:rPr>
      </w:pPr>
    </w:p>
    <w:p w:rsidR="0053499B" w:rsidRDefault="0053499B" w:rsidP="0053499B">
      <w:pPr>
        <w:tabs>
          <w:tab w:val="left" w:pos="360"/>
        </w:tabs>
        <w:jc w:val="both"/>
        <w:rPr>
          <w:rFonts w:eastAsia="TimesNewRomanPSMT"/>
        </w:rPr>
      </w:pPr>
      <w:r w:rsidRPr="006F7E67">
        <w:t>2.1.</w:t>
      </w:r>
      <w:r w:rsidRPr="0051572D">
        <w:rPr>
          <w:b/>
          <w:bCs/>
        </w:rPr>
        <w:t xml:space="preserve"> </w:t>
      </w:r>
      <w:r w:rsidRPr="00C65A74">
        <w:t xml:space="preserve">Срокът за изпълнение на поръчката е </w:t>
      </w:r>
      <w:r>
        <w:rPr>
          <w:lang w:val="en-US"/>
        </w:rPr>
        <w:t xml:space="preserve">3 </w:t>
      </w:r>
      <w:r>
        <w:t>(три) години</w:t>
      </w:r>
      <w:r w:rsidRPr="00C65A74">
        <w:t xml:space="preserve">, считано от </w:t>
      </w:r>
      <w:r w:rsidRPr="00C65A74">
        <w:rPr>
          <w:rFonts w:eastAsia="TimesNewRomanPSMT"/>
        </w:rPr>
        <w:t xml:space="preserve">датата на </w:t>
      </w:r>
      <w:r>
        <w:rPr>
          <w:rFonts w:eastAsia="TimesNewRomanPSMT"/>
        </w:rPr>
        <w:t>подписване на договора.</w:t>
      </w:r>
      <w:r w:rsidRPr="00514DBE">
        <w:rPr>
          <w:rFonts w:eastAsia="TimesNewRomanPSMT"/>
        </w:rPr>
        <w:t xml:space="preserve"> </w:t>
      </w:r>
    </w:p>
    <w:p w:rsidR="0053499B" w:rsidRPr="006F7E67" w:rsidRDefault="0053499B" w:rsidP="0053499B">
      <w:pPr>
        <w:tabs>
          <w:tab w:val="left" w:pos="360"/>
        </w:tabs>
        <w:jc w:val="both"/>
      </w:pPr>
      <w:r w:rsidRPr="0051572D">
        <w:t>2.2. Място на изпълнение на поръчката</w:t>
      </w:r>
      <w:r w:rsidRPr="0051572D">
        <w:rPr>
          <w:b/>
          <w:bCs/>
        </w:rPr>
        <w:t>:</w:t>
      </w:r>
      <w:bookmarkStart w:id="2" w:name="_Toc252176751"/>
      <w:bookmarkStart w:id="3" w:name="_Toc254260392"/>
      <w:bookmarkStart w:id="4" w:name="_Toc255994136"/>
      <w:bookmarkStart w:id="5" w:name="_Toc261294381"/>
      <w:bookmarkStart w:id="6" w:name="_Toc261433404"/>
      <w:bookmarkStart w:id="7" w:name="_Toc264409337"/>
      <w:r w:rsidRPr="0051572D">
        <w:rPr>
          <w:b/>
          <w:bCs/>
        </w:rPr>
        <w:t xml:space="preserve">  </w:t>
      </w:r>
      <w:r>
        <w:t>на територията на община Перник;</w:t>
      </w:r>
    </w:p>
    <w:bookmarkEnd w:id="2"/>
    <w:bookmarkEnd w:id="3"/>
    <w:bookmarkEnd w:id="4"/>
    <w:bookmarkEnd w:id="5"/>
    <w:bookmarkEnd w:id="6"/>
    <w:bookmarkEnd w:id="7"/>
    <w:p w:rsidR="0053499B" w:rsidRPr="0051572D" w:rsidRDefault="0053499B" w:rsidP="0053499B">
      <w:pPr>
        <w:keepNext/>
        <w:tabs>
          <w:tab w:val="left" w:pos="374"/>
        </w:tabs>
        <w:ind w:right="79"/>
        <w:outlineLvl w:val="0"/>
        <w:rPr>
          <w:b/>
          <w:bCs/>
          <w:caps/>
        </w:rPr>
      </w:pPr>
    </w:p>
    <w:p w:rsidR="0053499B" w:rsidRPr="0051572D" w:rsidRDefault="0053499B" w:rsidP="0053499B">
      <w:pPr>
        <w:tabs>
          <w:tab w:val="left" w:pos="1309"/>
        </w:tabs>
        <w:ind w:right="79"/>
        <w:jc w:val="both"/>
        <w:rPr>
          <w:b/>
          <w:bCs/>
          <w:caps/>
        </w:rPr>
      </w:pPr>
      <w:r w:rsidRPr="0051572D">
        <w:rPr>
          <w:b/>
          <w:bCs/>
          <w:caps/>
        </w:rPr>
        <w:t xml:space="preserve">3. </w:t>
      </w:r>
      <w:bookmarkEnd w:id="1"/>
      <w:r w:rsidRPr="0051572D">
        <w:rPr>
          <w:b/>
          <w:bCs/>
          <w:caps/>
        </w:rPr>
        <w:t>техническ</w:t>
      </w:r>
      <w:r>
        <w:rPr>
          <w:b/>
          <w:bCs/>
          <w:caps/>
        </w:rPr>
        <w:t>А СПЕЦИФИКАЦИЯ</w:t>
      </w:r>
      <w:r w:rsidRPr="0051572D">
        <w:rPr>
          <w:b/>
          <w:bCs/>
          <w:caps/>
        </w:rPr>
        <w:t>:</w:t>
      </w:r>
    </w:p>
    <w:p w:rsidR="0053499B" w:rsidRPr="0051572D" w:rsidRDefault="0053499B" w:rsidP="0053499B">
      <w:pPr>
        <w:jc w:val="both"/>
        <w:rPr>
          <w:lang w:eastAsia="en-US"/>
        </w:rPr>
      </w:pPr>
    </w:p>
    <w:p w:rsidR="0053499B" w:rsidRPr="00610FCF" w:rsidRDefault="0053499B" w:rsidP="0053499B">
      <w:pPr>
        <w:numPr>
          <w:ilvl w:val="1"/>
          <w:numId w:val="2"/>
        </w:numPr>
        <w:ind w:right="-244"/>
        <w:jc w:val="both"/>
        <w:rPr>
          <w:b/>
        </w:rPr>
      </w:pPr>
      <w:r w:rsidRPr="00610FCF">
        <w:rPr>
          <w:b/>
        </w:rPr>
        <w:t xml:space="preserve">Основни видове дейности </w:t>
      </w:r>
    </w:p>
    <w:p w:rsidR="0053499B" w:rsidRPr="00610FCF" w:rsidRDefault="0053499B" w:rsidP="0053499B">
      <w:pPr>
        <w:tabs>
          <w:tab w:val="num" w:pos="0"/>
        </w:tabs>
        <w:ind w:right="-244" w:firstLine="708"/>
        <w:jc w:val="both"/>
      </w:pPr>
      <w:r w:rsidRPr="00610FCF">
        <w:t xml:space="preserve">- Услуга с мини </w:t>
      </w:r>
      <w:r w:rsidR="00A45177">
        <w:t>фадрома</w:t>
      </w:r>
      <w:r w:rsidRPr="00610FCF">
        <w:t xml:space="preserve"> </w:t>
      </w:r>
      <w:r w:rsidR="00A45177">
        <w:t xml:space="preserve">с мултифункционална кофа </w:t>
      </w:r>
      <w:r w:rsidRPr="00610FCF">
        <w:t>–</w:t>
      </w:r>
      <w:r>
        <w:t xml:space="preserve"> </w:t>
      </w:r>
      <w:r w:rsidR="00A45177" w:rsidRPr="00610FCF">
        <w:t xml:space="preserve">извършване на </w:t>
      </w:r>
      <w:r>
        <w:t xml:space="preserve">прибутване, </w:t>
      </w:r>
      <w:r w:rsidR="00A45177" w:rsidRPr="00610FCF">
        <w:t>п</w:t>
      </w:r>
      <w:r w:rsidR="00A45177">
        <w:t>овдигане и преместване на сгурия и други едрогабаритни материали,</w:t>
      </w:r>
      <w:r w:rsidR="00A45177" w:rsidRPr="00A45177">
        <w:t xml:space="preserve"> </w:t>
      </w:r>
      <w:r w:rsidR="00A45177" w:rsidRPr="00610FCF">
        <w:t>почистване на отломки</w:t>
      </w:r>
      <w:r w:rsidR="00A45177">
        <w:t xml:space="preserve"> от нерегламентираните сметища</w:t>
      </w:r>
      <w:r w:rsidR="00A45177" w:rsidRPr="00610FCF">
        <w:t>, пренос на строителни материали, като в зависимост от дейностите се изп</w:t>
      </w:r>
      <w:r w:rsidR="00A45177">
        <w:t>олзват необходимите видове механизация</w:t>
      </w:r>
      <w:r w:rsidR="00A45177" w:rsidRPr="00610FCF">
        <w:t xml:space="preserve">. </w:t>
      </w:r>
    </w:p>
    <w:p w:rsidR="0053499B" w:rsidRPr="00610FCF" w:rsidRDefault="0053499B" w:rsidP="0053499B">
      <w:pPr>
        <w:ind w:right="-244" w:firstLine="708"/>
        <w:jc w:val="both"/>
      </w:pPr>
      <w:r w:rsidRPr="00610FCF">
        <w:t>- Услуга със самосвали до 1</w:t>
      </w:r>
      <w:r>
        <w:t>0</w:t>
      </w:r>
      <w:r w:rsidRPr="00610FCF">
        <w:t xml:space="preserve"> тона</w:t>
      </w:r>
      <w:r w:rsidR="00070883">
        <w:t xml:space="preserve"> –</w:t>
      </w:r>
      <w:r w:rsidR="00A45177">
        <w:t xml:space="preserve"> за</w:t>
      </w:r>
      <w:r w:rsidR="00070883">
        <w:t xml:space="preserve"> извършване на товарене, превоз и разтоварване на материалите на депо за ТБО.</w:t>
      </w:r>
    </w:p>
    <w:p w:rsidR="0053499B" w:rsidRDefault="0053499B" w:rsidP="0053499B">
      <w:pPr>
        <w:spacing w:before="60"/>
        <w:ind w:right="-244" w:firstLine="708"/>
        <w:jc w:val="both"/>
      </w:pPr>
      <w:r w:rsidRPr="00610FCF">
        <w:t xml:space="preserve">- Услуга с бордови автомобил до 3,5 тона </w:t>
      </w:r>
      <w:r w:rsidR="00A45177">
        <w:t xml:space="preserve">– за </w:t>
      </w:r>
      <w:r w:rsidR="00A45177" w:rsidRPr="00610FCF">
        <w:t>извършване на транспортни дейности</w:t>
      </w:r>
      <w:r w:rsidRPr="00610FCF">
        <w:t>.</w:t>
      </w:r>
    </w:p>
    <w:p w:rsidR="00070883" w:rsidRPr="00610FCF" w:rsidRDefault="00070883" w:rsidP="0053499B">
      <w:pPr>
        <w:spacing w:before="60"/>
        <w:ind w:right="-244" w:firstLine="708"/>
        <w:jc w:val="both"/>
      </w:pPr>
      <w:r>
        <w:t>- Услуга със самосвал комбиниран със загребващо устройство (щипка) – за извършване на повдигане и преместване на едрогабаритни отпадъчни материали от нерегламентирани сметища</w:t>
      </w:r>
    </w:p>
    <w:p w:rsidR="0053499B" w:rsidRPr="00610FCF" w:rsidRDefault="0053499B" w:rsidP="0053499B">
      <w:pPr>
        <w:tabs>
          <w:tab w:val="num" w:pos="0"/>
        </w:tabs>
        <w:spacing w:before="60"/>
        <w:ind w:right="-244" w:firstLine="708"/>
        <w:jc w:val="both"/>
      </w:pPr>
      <w:r w:rsidRPr="00610FCF">
        <w:t>В обхвата на дейностите ще влизат</w:t>
      </w:r>
      <w:r w:rsidRPr="00610FCF">
        <w:rPr>
          <w:b/>
        </w:rPr>
        <w:t xml:space="preserve"> </w:t>
      </w:r>
      <w:r w:rsidRPr="00610FCF">
        <w:t xml:space="preserve">товарене, транспортиране и разтоварване на </w:t>
      </w:r>
      <w:r w:rsidR="005A0F6A">
        <w:t>сгурия</w:t>
      </w:r>
      <w:r w:rsidRPr="00610FCF">
        <w:t xml:space="preserve"> </w:t>
      </w:r>
      <w:r w:rsidR="005A0F6A">
        <w:t xml:space="preserve">и </w:t>
      </w:r>
      <w:r w:rsidRPr="00610FCF">
        <w:t xml:space="preserve">твърди </w:t>
      </w:r>
      <w:r w:rsidR="005A0F6A">
        <w:t>едрогоборитни</w:t>
      </w:r>
      <w:r>
        <w:t xml:space="preserve"> </w:t>
      </w:r>
      <w:r w:rsidRPr="00610FCF">
        <w:t>отпадъци и всякакви други материали</w:t>
      </w:r>
      <w:r w:rsidR="005A0F6A">
        <w:t>.</w:t>
      </w:r>
      <w:r w:rsidRPr="00610FCF">
        <w:t xml:space="preserve">  </w:t>
      </w:r>
    </w:p>
    <w:p w:rsidR="0053499B" w:rsidRPr="00610FCF" w:rsidRDefault="0053499B" w:rsidP="0053499B">
      <w:pPr>
        <w:tabs>
          <w:tab w:val="num" w:pos="0"/>
        </w:tabs>
        <w:ind w:right="-244" w:firstLine="708"/>
        <w:jc w:val="both"/>
      </w:pPr>
      <w:r w:rsidRPr="00610FCF">
        <w:t>В стойността на услугата влиза и заплащането за необходимият квалифициран персонал необходим за експлоатация на механизацията.</w:t>
      </w:r>
    </w:p>
    <w:p w:rsidR="001C5739" w:rsidRPr="0051572D" w:rsidRDefault="001C5739" w:rsidP="001C5739">
      <w:pPr>
        <w:tabs>
          <w:tab w:val="left" w:pos="374"/>
        </w:tabs>
        <w:ind w:right="79"/>
        <w:jc w:val="center"/>
        <w:rPr>
          <w:b/>
          <w:bCs/>
        </w:rPr>
      </w:pPr>
    </w:p>
    <w:p w:rsidR="00151DD2" w:rsidRPr="0051572D" w:rsidRDefault="00151DD2" w:rsidP="00451F99">
      <w:pPr>
        <w:tabs>
          <w:tab w:val="left" w:pos="374"/>
        </w:tabs>
        <w:ind w:right="-284"/>
        <w:jc w:val="both"/>
        <w:rPr>
          <w:b/>
          <w:bCs/>
        </w:rPr>
      </w:pPr>
      <w:r>
        <w:rPr>
          <w:b/>
          <w:bCs/>
        </w:rPr>
        <w:t>3.2.</w:t>
      </w:r>
      <w:r w:rsidRPr="0051572D">
        <w:rPr>
          <w:b/>
          <w:bCs/>
        </w:rPr>
        <w:t xml:space="preserve"> Минимални изисквания към техническите възможности и/или квалификацията на участниците</w:t>
      </w:r>
    </w:p>
    <w:p w:rsidR="00151DD2" w:rsidRDefault="00151DD2" w:rsidP="00451F99">
      <w:pPr>
        <w:pStyle w:val="31"/>
        <w:tabs>
          <w:tab w:val="left" w:pos="900"/>
          <w:tab w:val="left" w:pos="990"/>
        </w:tabs>
        <w:spacing w:after="0"/>
        <w:ind w:left="0" w:right="-284" w:firstLine="709"/>
        <w:jc w:val="both"/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-</w:t>
      </w:r>
      <w:r w:rsidRPr="006F7E67">
        <w:rPr>
          <w:b/>
          <w:bCs/>
          <w:sz w:val="24"/>
          <w:szCs w:val="24"/>
          <w:lang w:val="bg-BG"/>
        </w:rPr>
        <w:t xml:space="preserve"> </w:t>
      </w:r>
      <w:r w:rsidRPr="006F7E67">
        <w:rPr>
          <w:sz w:val="24"/>
          <w:szCs w:val="24"/>
          <w:lang w:val="bg-BG"/>
        </w:rPr>
        <w:t xml:space="preserve"> Участниците следва да имат </w:t>
      </w:r>
      <w:r>
        <w:rPr>
          <w:sz w:val="24"/>
          <w:szCs w:val="24"/>
          <w:lang w:val="bg-BG"/>
        </w:rPr>
        <w:t xml:space="preserve">извършени, през последните три години, считано до датата на подаване на офертите, </w:t>
      </w:r>
      <w:r w:rsidRPr="006F7E67">
        <w:rPr>
          <w:sz w:val="24"/>
          <w:szCs w:val="24"/>
          <w:lang w:val="bg-BG"/>
        </w:rPr>
        <w:t xml:space="preserve">минимум </w:t>
      </w:r>
      <w:r>
        <w:rPr>
          <w:sz w:val="24"/>
          <w:szCs w:val="24"/>
          <w:lang w:val="bg-BG"/>
        </w:rPr>
        <w:t>1</w:t>
      </w:r>
      <w:r w:rsidRPr="006F7E6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услуга, сходни с предмета на поръчката</w:t>
      </w:r>
      <w:r w:rsidRPr="006F7E67">
        <w:rPr>
          <w:sz w:val="24"/>
          <w:szCs w:val="24"/>
          <w:lang w:val="bg-BG"/>
        </w:rPr>
        <w:t xml:space="preserve">. </w:t>
      </w:r>
    </w:p>
    <w:p w:rsidR="00151DD2" w:rsidRDefault="00151DD2" w:rsidP="00451F99">
      <w:pPr>
        <w:tabs>
          <w:tab w:val="left" w:pos="374"/>
        </w:tabs>
        <w:ind w:right="-284" w:firstLine="709"/>
        <w:jc w:val="both"/>
        <w:rPr>
          <w:i/>
        </w:rPr>
      </w:pPr>
      <w:r w:rsidRPr="0051572D">
        <w:rPr>
          <w:i/>
          <w:iCs/>
        </w:rPr>
        <w:t>За доказване изпълнението на посоченото изискване участникът представ</w:t>
      </w:r>
      <w:r>
        <w:rPr>
          <w:i/>
          <w:iCs/>
        </w:rPr>
        <w:t>я Списък на изпълнените услуги</w:t>
      </w:r>
      <w:r w:rsidRPr="0051572D">
        <w:rPr>
          <w:i/>
          <w:iCs/>
        </w:rPr>
        <w:t xml:space="preserve"> </w:t>
      </w:r>
      <w:r w:rsidRPr="003E3BD7">
        <w:rPr>
          <w:i/>
        </w:rPr>
        <w:t>със строителна и транспортна механизация</w:t>
      </w:r>
      <w:r w:rsidRPr="0051572D">
        <w:rPr>
          <w:i/>
          <w:iCs/>
        </w:rPr>
        <w:t xml:space="preserve"> през </w:t>
      </w:r>
      <w:r>
        <w:rPr>
          <w:i/>
          <w:iCs/>
        </w:rPr>
        <w:t>последните три години, считано до</w:t>
      </w:r>
      <w:r w:rsidRPr="0051572D">
        <w:rPr>
          <w:i/>
          <w:iCs/>
        </w:rPr>
        <w:t xml:space="preserve"> датата на подаване на офертата в настоящата поръчка, с посочване на стойностите, датите и получателите – Образец № 3</w:t>
      </w:r>
      <w:r>
        <w:t xml:space="preserve">, </w:t>
      </w:r>
      <w:r w:rsidRPr="003E3BD7">
        <w:rPr>
          <w:i/>
        </w:rPr>
        <w:t xml:space="preserve">придружен от удостоверения за добро изпълнение, издадени от получателя или от компетентен орган, които съдържат стойността, датата на която е приключила услугата, мястото вида и обема, както и дали услугата е изпълнена в съответствие с изискванията на възложителя, или чрез посочване на публичен регистър, в който е публикувана информация за услугата. </w:t>
      </w:r>
    </w:p>
    <w:p w:rsidR="00151DD2" w:rsidRPr="00CA383E" w:rsidRDefault="00151DD2" w:rsidP="00151DD2">
      <w:pPr>
        <w:pStyle w:val="a3"/>
        <w:ind w:left="0" w:right="-244" w:firstLine="708"/>
        <w:jc w:val="both"/>
        <w:rPr>
          <w:b/>
          <w:i/>
        </w:rPr>
      </w:pPr>
      <w:r w:rsidRPr="00CA383E">
        <w:rPr>
          <w:i/>
        </w:rPr>
        <w:t>За сходни с предмета на поръчката, възложителят ще счита, услуги със строителна и транспортна механизация при извършване на земни работи, превоз на стоки и услуги  и др.</w:t>
      </w:r>
    </w:p>
    <w:p w:rsidR="00151DD2" w:rsidRPr="0051572D" w:rsidRDefault="00151DD2" w:rsidP="00451F99">
      <w:pPr>
        <w:tabs>
          <w:tab w:val="left" w:pos="0"/>
          <w:tab w:val="left" w:pos="1134"/>
          <w:tab w:val="left" w:pos="1418"/>
        </w:tabs>
        <w:ind w:right="-283" w:firstLine="709"/>
        <w:jc w:val="both"/>
        <w:rPr>
          <w:i/>
          <w:iCs/>
        </w:rPr>
      </w:pPr>
      <w:r w:rsidRPr="0051572D">
        <w:rPr>
          <w:i/>
          <w:iCs/>
        </w:rPr>
        <w:lastRenderedPageBreak/>
        <w:t>Когато участникът е обединение, което не е юридическо лице, съответствието с минималното изискване за изпълнени доставки се доказва от един или повече от участниците в обединението.</w:t>
      </w:r>
    </w:p>
    <w:p w:rsidR="00151DD2" w:rsidRPr="0051572D" w:rsidRDefault="00151DD2" w:rsidP="00451F99">
      <w:pPr>
        <w:autoSpaceDE w:val="0"/>
        <w:autoSpaceDN w:val="0"/>
        <w:ind w:right="-283" w:firstLine="709"/>
        <w:jc w:val="both"/>
        <w:rPr>
          <w:i/>
          <w:iCs/>
        </w:rPr>
      </w:pPr>
      <w:r w:rsidRPr="0051572D">
        <w:rPr>
          <w:i/>
          <w:iCs/>
        </w:rPr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151DD2" w:rsidRDefault="00151DD2" w:rsidP="00451F99">
      <w:pPr>
        <w:autoSpaceDE w:val="0"/>
        <w:autoSpaceDN w:val="0"/>
        <w:ind w:right="-283" w:firstLine="709"/>
        <w:jc w:val="both"/>
        <w:rPr>
          <w:i/>
          <w:iCs/>
        </w:rPr>
      </w:pPr>
      <w:r w:rsidRPr="0051572D">
        <w:rPr>
          <w:i/>
          <w:iCs/>
        </w:rPr>
        <w:t xml:space="preserve">За трети лица може да бъдат посочените подизпълнители и други лица, независимо от правната връзка на участника с тях. </w:t>
      </w:r>
    </w:p>
    <w:p w:rsidR="00151DD2" w:rsidRPr="0051572D" w:rsidRDefault="00151DD2" w:rsidP="00151DD2">
      <w:pPr>
        <w:autoSpaceDE w:val="0"/>
        <w:autoSpaceDN w:val="0"/>
        <w:ind w:firstLine="709"/>
        <w:jc w:val="both"/>
        <w:rPr>
          <w:i/>
          <w:iCs/>
        </w:rPr>
      </w:pPr>
    </w:p>
    <w:p w:rsidR="00151DD2" w:rsidRDefault="00151DD2" w:rsidP="00151DD2">
      <w:pPr>
        <w:pStyle w:val="a3"/>
        <w:ind w:left="0" w:right="-244" w:firstLine="708"/>
        <w:jc w:val="both"/>
      </w:pPr>
      <w:r>
        <w:rPr>
          <w:b/>
          <w:bCs/>
        </w:rPr>
        <w:t>-</w:t>
      </w:r>
      <w:r w:rsidRPr="00CA383E">
        <w:rPr>
          <w:b/>
          <w:bCs/>
        </w:rPr>
        <w:t xml:space="preserve"> </w:t>
      </w:r>
      <w:r w:rsidRPr="00CA383E">
        <w:t>Участникът трябва да разполага с квалифициран персонал за изпълнение на поръчката, отговарящ на изискванията на Възложителя, както следва:</w:t>
      </w:r>
    </w:p>
    <w:p w:rsidR="00151DD2" w:rsidRPr="00D9715D" w:rsidRDefault="00151DD2" w:rsidP="00151DD2">
      <w:pPr>
        <w:numPr>
          <w:ilvl w:val="1"/>
          <w:numId w:val="5"/>
        </w:numPr>
        <w:tabs>
          <w:tab w:val="left" w:pos="851"/>
          <w:tab w:val="left" w:pos="993"/>
        </w:tabs>
        <w:ind w:left="0" w:right="-244" w:firstLine="708"/>
        <w:jc w:val="both"/>
      </w:pPr>
      <w:r>
        <w:t>Р</w:t>
      </w:r>
      <w:r w:rsidRPr="00D9715D">
        <w:rPr>
          <w:color w:val="000000"/>
        </w:rPr>
        <w:t>ъководител</w:t>
      </w:r>
      <w:r>
        <w:rPr>
          <w:color w:val="000000"/>
        </w:rPr>
        <w:t xml:space="preserve"> на екипа - с</w:t>
      </w:r>
      <w:r w:rsidRPr="00D9715D">
        <w:t xml:space="preserve">троителен инженер или среден техник </w:t>
      </w:r>
      <w:r w:rsidRPr="00D9715D">
        <w:rPr>
          <w:color w:val="000000"/>
        </w:rPr>
        <w:t xml:space="preserve">с опит </w:t>
      </w:r>
      <w:r>
        <w:rPr>
          <w:color w:val="000000"/>
        </w:rPr>
        <w:t>в изпълнението на услуги, сходни</w:t>
      </w:r>
      <w:r w:rsidRPr="00D9715D">
        <w:rPr>
          <w:color w:val="000000"/>
        </w:rPr>
        <w:t xml:space="preserve"> с предмета на поръчката.</w:t>
      </w:r>
    </w:p>
    <w:p w:rsidR="00151DD2" w:rsidRPr="00D9715D" w:rsidRDefault="00151DD2" w:rsidP="00151DD2">
      <w:pPr>
        <w:numPr>
          <w:ilvl w:val="1"/>
          <w:numId w:val="5"/>
        </w:numPr>
        <w:tabs>
          <w:tab w:val="left" w:pos="993"/>
        </w:tabs>
        <w:ind w:left="0" w:right="-244" w:firstLine="708"/>
        <w:jc w:val="both"/>
        <w:rPr>
          <w:color w:val="000000"/>
        </w:rPr>
      </w:pPr>
      <w:r w:rsidRPr="00D9715D">
        <w:rPr>
          <w:color w:val="000000"/>
        </w:rPr>
        <w:t>Специалист по здравословни и безопасни усл</w:t>
      </w:r>
      <w:r>
        <w:rPr>
          <w:color w:val="000000"/>
        </w:rPr>
        <w:t>овия на труд - лице, притежаващ</w:t>
      </w:r>
      <w:r w:rsidRPr="00D9715D">
        <w:rPr>
          <w:color w:val="000000"/>
        </w:rPr>
        <w:t xml:space="preserve"> удостоверение (сертификат) за завършен курс за координатор по здраве и безопасност или еквивалентно;</w:t>
      </w:r>
    </w:p>
    <w:p w:rsidR="00151DD2" w:rsidRPr="00CA383E" w:rsidRDefault="00151DD2" w:rsidP="00451F99">
      <w:pPr>
        <w:numPr>
          <w:ilvl w:val="1"/>
          <w:numId w:val="5"/>
        </w:numPr>
        <w:tabs>
          <w:tab w:val="left" w:pos="993"/>
          <w:tab w:val="left" w:pos="9356"/>
        </w:tabs>
        <w:ind w:left="0" w:right="-283" w:firstLine="708"/>
        <w:contextualSpacing/>
        <w:jc w:val="both"/>
        <w:rPr>
          <w:i/>
          <w:iCs/>
          <w:lang w:val="en-US"/>
        </w:rPr>
      </w:pPr>
      <w:r w:rsidRPr="00CA383E">
        <w:rPr>
          <w:color w:val="000000"/>
        </w:rPr>
        <w:t xml:space="preserve">Наличен персонал – участникът трябва да представи минимум </w:t>
      </w:r>
      <w:r>
        <w:rPr>
          <w:color w:val="000000"/>
        </w:rPr>
        <w:t>4</w:t>
      </w:r>
      <w:r w:rsidRPr="00CA383E">
        <w:rPr>
          <w:color w:val="000000"/>
        </w:rPr>
        <w:t xml:space="preserve"> души притежаващи правоспособност за управление на изискуемото техническо оборудване, както и 3 души с доказан опит при ръчно извършване на изискуемите дейности.</w:t>
      </w:r>
    </w:p>
    <w:p w:rsidR="00151DD2" w:rsidRPr="003C7A1B" w:rsidRDefault="00151DD2" w:rsidP="00151DD2">
      <w:pPr>
        <w:tabs>
          <w:tab w:val="left" w:pos="0"/>
          <w:tab w:val="left" w:pos="851"/>
        </w:tabs>
        <w:ind w:right="-244" w:firstLine="708"/>
        <w:jc w:val="both"/>
        <w:rPr>
          <w:i/>
        </w:rPr>
      </w:pPr>
      <w:r>
        <w:rPr>
          <w:i/>
          <w:iCs/>
          <w:lang w:val="en-US"/>
        </w:rPr>
        <w:tab/>
      </w:r>
      <w:r w:rsidRPr="003C7A1B">
        <w:rPr>
          <w:i/>
          <w:iCs/>
        </w:rPr>
        <w:t xml:space="preserve">За доказване изпълнението на посоченото изискване участникът представя </w:t>
      </w:r>
      <w:r w:rsidRPr="003C7A1B">
        <w:rPr>
          <w:i/>
        </w:rPr>
        <w:t>списък</w:t>
      </w:r>
      <w:r w:rsidRPr="003C7A1B">
        <w:rPr>
          <w:i/>
          <w:lang w:val="en-US"/>
        </w:rPr>
        <w:t xml:space="preserve"> </w:t>
      </w:r>
      <w:r w:rsidRPr="003C7A1B">
        <w:rPr>
          <w:i/>
        </w:rPr>
        <w:t>на лицата, ангажирани в изпълнението на услугата</w:t>
      </w:r>
      <w:r>
        <w:rPr>
          <w:i/>
        </w:rPr>
        <w:t xml:space="preserve"> </w:t>
      </w:r>
      <w:r>
        <w:rPr>
          <w:i/>
          <w:iCs/>
        </w:rPr>
        <w:t>Образец № 4</w:t>
      </w:r>
      <w:r w:rsidRPr="003C7A1B">
        <w:rPr>
          <w:i/>
        </w:rPr>
        <w:t xml:space="preserve">, придружен с  Автобиография, съдържаща данни, удостоверяващи обстоятелствата в минималните изисквания (официални документи, удостоверяващи образованието, професионалната квалификация и стажа на лицата, отговарящи за изпълнението на поръчката, удостоверения за вписване в професионалните регистри, сертификати), както и Декларация </w:t>
      </w:r>
      <w:r>
        <w:rPr>
          <w:i/>
        </w:rPr>
        <w:t xml:space="preserve">ангажираност </w:t>
      </w:r>
      <w:r>
        <w:rPr>
          <w:i/>
          <w:iCs/>
        </w:rPr>
        <w:t>Образец № 4.1.</w:t>
      </w:r>
      <w:r w:rsidRPr="003C7A1B">
        <w:rPr>
          <w:i/>
        </w:rPr>
        <w:t xml:space="preserve"> на лицето, по време на изпълнението на поръчката. </w:t>
      </w:r>
    </w:p>
    <w:p w:rsidR="00151DD2" w:rsidRPr="003C7A1B" w:rsidRDefault="00151DD2" w:rsidP="00151DD2">
      <w:pPr>
        <w:tabs>
          <w:tab w:val="left" w:pos="0"/>
          <w:tab w:val="left" w:pos="851"/>
        </w:tabs>
        <w:ind w:right="-244" w:firstLine="708"/>
        <w:jc w:val="both"/>
        <w:rPr>
          <w:i/>
          <w:color w:val="000000"/>
        </w:rPr>
      </w:pPr>
      <w:r w:rsidRPr="003C7A1B">
        <w:rPr>
          <w:i/>
        </w:rPr>
        <w:t xml:space="preserve">За Специалист по Контрол на качеството и Специалист по ЗБУТ, участникът следва да представи копия на </w:t>
      </w:r>
      <w:r w:rsidRPr="003C7A1B">
        <w:rPr>
          <w:i/>
          <w:color w:val="000000"/>
        </w:rPr>
        <w:t xml:space="preserve">Удостоверение/ Сертификат за преминато обучение, а за </w:t>
      </w:r>
      <w:r w:rsidRPr="003C7A1B">
        <w:rPr>
          <w:i/>
        </w:rPr>
        <w:t xml:space="preserve">лицата, управляващи техническото оборудване, участниците следва да представят Удостоверения за </w:t>
      </w:r>
      <w:r w:rsidRPr="003C7A1B">
        <w:rPr>
          <w:i/>
          <w:color w:val="000000"/>
        </w:rPr>
        <w:t>правоспособност за управление на изискуемото техническо оборудване.</w:t>
      </w:r>
    </w:p>
    <w:p w:rsidR="00151DD2" w:rsidRPr="00D9715D" w:rsidRDefault="00151DD2" w:rsidP="00151DD2">
      <w:pPr>
        <w:tabs>
          <w:tab w:val="left" w:pos="0"/>
          <w:tab w:val="left" w:pos="9498"/>
        </w:tabs>
        <w:ind w:right="-244" w:firstLine="708"/>
        <w:jc w:val="both"/>
      </w:pPr>
      <w:r w:rsidRPr="00D9715D">
        <w:t xml:space="preserve">Изпълнителят на поръчката трябва да осигури постоянен състав (технически ръководител, </w:t>
      </w:r>
      <w:r w:rsidRPr="00D9715D">
        <w:rPr>
          <w:color w:val="000000"/>
        </w:rPr>
        <w:t>специалист – контрол на качеството и специалист по здравословни и безопасни условия на труд</w:t>
      </w:r>
      <w:r w:rsidRPr="00D9715D">
        <w:t>) в екипа за целия срок на изпълнение на обществената поръчка. Изменения в екипа са допустими само с изричното писмено съгласие на Възложителя.</w:t>
      </w:r>
    </w:p>
    <w:p w:rsidR="00151DD2" w:rsidRPr="00D9715D" w:rsidRDefault="00151DD2" w:rsidP="00151DD2">
      <w:pPr>
        <w:tabs>
          <w:tab w:val="left" w:pos="0"/>
          <w:tab w:val="left" w:pos="9498"/>
        </w:tabs>
        <w:ind w:right="-244" w:firstLine="708"/>
        <w:jc w:val="both"/>
      </w:pPr>
      <w:r w:rsidRPr="00D9715D">
        <w:t>Длъжностите отговорник по качеството и координатор по безопасност и здраве, могат да се съвместяват от едно лице, при удовлетворяване изискванията и за двете длъжности.</w:t>
      </w:r>
    </w:p>
    <w:p w:rsidR="00151DD2" w:rsidRDefault="00151DD2" w:rsidP="00151DD2">
      <w:pPr>
        <w:tabs>
          <w:tab w:val="left" w:pos="374"/>
        </w:tabs>
        <w:ind w:right="79"/>
        <w:jc w:val="both"/>
        <w:rPr>
          <w:color w:val="000000"/>
          <w:shd w:val="clear" w:color="auto" w:fill="FFFFFF"/>
        </w:rPr>
      </w:pPr>
    </w:p>
    <w:p w:rsidR="00151DD2" w:rsidRPr="003C7A1B" w:rsidRDefault="00151DD2" w:rsidP="00151DD2">
      <w:pPr>
        <w:pStyle w:val="a3"/>
        <w:ind w:left="0" w:right="-244" w:firstLine="708"/>
        <w:jc w:val="both"/>
        <w:rPr>
          <w:b/>
        </w:rPr>
      </w:pPr>
      <w:r>
        <w:rPr>
          <w:b/>
          <w:bCs/>
        </w:rPr>
        <w:t>-</w:t>
      </w:r>
      <w:r w:rsidRPr="003C7A1B">
        <w:rPr>
          <w:b/>
          <w:bCs/>
        </w:rPr>
        <w:t xml:space="preserve"> </w:t>
      </w:r>
      <w:r w:rsidRPr="003C7A1B">
        <w:t>Участниците трябва да разполагат минимум със следното техническо оборудване за изпълнение на поръчката:</w:t>
      </w:r>
    </w:p>
    <w:p w:rsidR="00151DD2" w:rsidRPr="003C7A1B" w:rsidRDefault="00151DD2" w:rsidP="00151DD2">
      <w:pPr>
        <w:pStyle w:val="a3"/>
        <w:numPr>
          <w:ilvl w:val="2"/>
          <w:numId w:val="5"/>
        </w:numPr>
        <w:ind w:left="0" w:right="-244" w:firstLine="708"/>
        <w:jc w:val="both"/>
      </w:pPr>
      <w:r w:rsidRPr="003C7A1B">
        <w:t xml:space="preserve">Самосвал </w:t>
      </w:r>
      <w:r>
        <w:t xml:space="preserve">до 10 </w:t>
      </w:r>
      <w:r w:rsidRPr="003C7A1B">
        <w:t xml:space="preserve">т – </w:t>
      </w:r>
      <w:r>
        <w:t xml:space="preserve">минимум </w:t>
      </w:r>
      <w:r w:rsidR="00070883">
        <w:t>3</w:t>
      </w:r>
      <w:r>
        <w:t xml:space="preserve"> </w:t>
      </w:r>
      <w:r w:rsidRPr="003C7A1B">
        <w:t>бр.</w:t>
      </w:r>
    </w:p>
    <w:p w:rsidR="00151DD2" w:rsidRPr="003C7A1B" w:rsidRDefault="00151DD2" w:rsidP="00151DD2">
      <w:pPr>
        <w:pStyle w:val="a3"/>
        <w:numPr>
          <w:ilvl w:val="2"/>
          <w:numId w:val="5"/>
        </w:numPr>
        <w:ind w:left="0" w:right="-244" w:firstLine="708"/>
        <w:jc w:val="both"/>
      </w:pPr>
      <w:r w:rsidRPr="003C7A1B">
        <w:t xml:space="preserve">Бордови автомобил </w:t>
      </w:r>
      <w:r>
        <w:t>до</w:t>
      </w:r>
      <w:r w:rsidRPr="003C7A1B">
        <w:t xml:space="preserve"> 5</w:t>
      </w:r>
      <w:r w:rsidR="00070883">
        <w:t xml:space="preserve"> </w:t>
      </w:r>
      <w:r w:rsidRPr="003C7A1B">
        <w:t xml:space="preserve">т – </w:t>
      </w:r>
      <w:r>
        <w:t xml:space="preserve">минимум 1 </w:t>
      </w:r>
      <w:r w:rsidRPr="003C7A1B">
        <w:t>бр.</w:t>
      </w:r>
    </w:p>
    <w:p w:rsidR="00151DD2" w:rsidRPr="003C7A1B" w:rsidRDefault="00151DD2" w:rsidP="00151DD2">
      <w:pPr>
        <w:pStyle w:val="a3"/>
        <w:numPr>
          <w:ilvl w:val="2"/>
          <w:numId w:val="5"/>
        </w:numPr>
        <w:ind w:left="0" w:right="-244" w:firstLine="708"/>
        <w:jc w:val="both"/>
      </w:pPr>
      <w:r w:rsidRPr="003C7A1B">
        <w:t>Мини</w:t>
      </w:r>
      <w:r w:rsidR="00070883">
        <w:t xml:space="preserve"> фадрома</w:t>
      </w:r>
      <w:r w:rsidRPr="003C7A1B">
        <w:t xml:space="preserve"> – </w:t>
      </w:r>
      <w:r>
        <w:t xml:space="preserve">минимум 1 </w:t>
      </w:r>
      <w:r w:rsidRPr="003C7A1B">
        <w:t>бр.</w:t>
      </w:r>
    </w:p>
    <w:p w:rsidR="00151DD2" w:rsidRPr="003C7A1B" w:rsidRDefault="00070883" w:rsidP="00151DD2">
      <w:pPr>
        <w:pStyle w:val="a3"/>
        <w:numPr>
          <w:ilvl w:val="2"/>
          <w:numId w:val="5"/>
        </w:numPr>
        <w:ind w:left="0" w:right="-244" w:firstLine="708"/>
        <w:jc w:val="both"/>
      </w:pPr>
      <w:r>
        <w:t>Самосвал със загребващо устройство (щипка)</w:t>
      </w:r>
      <w:r w:rsidR="00151DD2" w:rsidRPr="003C7A1B">
        <w:t xml:space="preserve"> – </w:t>
      </w:r>
      <w:r w:rsidR="00151DD2">
        <w:t xml:space="preserve">минимум </w:t>
      </w:r>
      <w:r w:rsidR="00151DD2" w:rsidRPr="003C7A1B">
        <w:t>1бр.</w:t>
      </w:r>
    </w:p>
    <w:p w:rsidR="00151DD2" w:rsidRPr="005C6A28" w:rsidRDefault="00151DD2" w:rsidP="00151DD2">
      <w:pPr>
        <w:tabs>
          <w:tab w:val="left" w:pos="9498"/>
        </w:tabs>
        <w:ind w:right="-244" w:firstLine="708"/>
        <w:jc w:val="both"/>
        <w:rPr>
          <w:i/>
        </w:rPr>
      </w:pPr>
      <w:r w:rsidRPr="005C6A28">
        <w:rPr>
          <w:i/>
          <w:iCs/>
        </w:rPr>
        <w:t xml:space="preserve">За доказване изпълнението на посоченото изискване участникът представя </w:t>
      </w:r>
      <w:r w:rsidRPr="005C6A28">
        <w:rPr>
          <w:i/>
        </w:rPr>
        <w:t>Списък на техническото оборудване /собствено или наето/, което ще се използва при изпълнение на поръчката (по образец 4.2).</w:t>
      </w:r>
    </w:p>
    <w:p w:rsidR="00151DD2" w:rsidRPr="00D9715D" w:rsidRDefault="00151DD2" w:rsidP="00151DD2">
      <w:pPr>
        <w:tabs>
          <w:tab w:val="left" w:pos="9498"/>
        </w:tabs>
        <w:ind w:right="-244" w:firstLine="708"/>
        <w:jc w:val="both"/>
      </w:pPr>
      <w:r>
        <w:t>У</w:t>
      </w:r>
      <w:r w:rsidRPr="00D9715D">
        <w:t>частник може да използва ресурсите на други физически или юридически лица при изпълнение на поръчката, при условие</w:t>
      </w:r>
      <w:r>
        <w:t>,</w:t>
      </w:r>
      <w:r w:rsidRPr="00D9715D">
        <w:t xml:space="preserve"> че докаже, че ще има на свое разположение тези ресурси за целия срок на изпълнение на поръчката.</w:t>
      </w:r>
    </w:p>
    <w:p w:rsidR="00151DD2" w:rsidRPr="00D9715D" w:rsidRDefault="00151DD2" w:rsidP="00151DD2">
      <w:pPr>
        <w:tabs>
          <w:tab w:val="left" w:pos="9498"/>
        </w:tabs>
        <w:ind w:right="-244" w:firstLine="708"/>
        <w:jc w:val="both"/>
      </w:pPr>
      <w:r w:rsidRPr="00D9715D">
        <w:lastRenderedPageBreak/>
        <w:t>Възложителят си запазва правото на проверка на обстоятелствата в списък-декларацията на спечелилият участник по всяко време на изпълнение на дейностите по поръчката.</w:t>
      </w:r>
    </w:p>
    <w:p w:rsidR="00151DD2" w:rsidRPr="00D9715D" w:rsidRDefault="00151DD2" w:rsidP="00151DD2">
      <w:pPr>
        <w:tabs>
          <w:tab w:val="left" w:pos="0"/>
          <w:tab w:val="left" w:pos="450"/>
        </w:tabs>
        <w:ind w:right="-244" w:firstLine="708"/>
        <w:jc w:val="both"/>
        <w:rPr>
          <w:b/>
          <w:sz w:val="28"/>
          <w:szCs w:val="28"/>
        </w:rPr>
      </w:pPr>
      <w:r w:rsidRPr="00D9715D">
        <w:t>Възложителят има право по всяко време да проверява наличното техническо оборудване  и технически екип, посочени в документацията за участие на Изпълнителя.</w:t>
      </w:r>
    </w:p>
    <w:p w:rsidR="00151DD2" w:rsidRPr="0051572D" w:rsidRDefault="00151DD2" w:rsidP="00151DD2">
      <w:pPr>
        <w:tabs>
          <w:tab w:val="left" w:pos="374"/>
        </w:tabs>
        <w:ind w:right="79"/>
        <w:jc w:val="center"/>
        <w:rPr>
          <w:b/>
          <w:bCs/>
        </w:rPr>
      </w:pPr>
    </w:p>
    <w:p w:rsidR="004A17DB" w:rsidRDefault="004A17DB" w:rsidP="00544F6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4. ТЕХНИЧЕСКИ ПОКАЗАТЕЛИ:</w:t>
      </w:r>
    </w:p>
    <w:p w:rsidR="00944D39" w:rsidRDefault="00944D39" w:rsidP="00544F6F">
      <w:pPr>
        <w:tabs>
          <w:tab w:val="left" w:pos="360"/>
        </w:tabs>
        <w:jc w:val="both"/>
        <w:rPr>
          <w:b/>
          <w:bCs/>
        </w:rPr>
      </w:pPr>
    </w:p>
    <w:p w:rsidR="004A17DB" w:rsidRDefault="004A17DB" w:rsidP="00544F6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4.1. Средно разстояние на извозване на сгурията и едрогабаритните битови отпадъци </w:t>
      </w:r>
      <w:r w:rsidR="00944D39">
        <w:rPr>
          <w:b/>
          <w:bCs/>
        </w:rPr>
        <w:t>за община Перник – 17 км за отиване и връщане до депо за ТБО.</w:t>
      </w:r>
    </w:p>
    <w:p w:rsidR="00944D39" w:rsidRDefault="00944D39" w:rsidP="00544F6F">
      <w:pPr>
        <w:tabs>
          <w:tab w:val="left" w:pos="360"/>
        </w:tabs>
        <w:jc w:val="both"/>
        <w:rPr>
          <w:b/>
          <w:bCs/>
        </w:rPr>
      </w:pPr>
    </w:p>
    <w:p w:rsidR="00944D39" w:rsidRDefault="00944D39" w:rsidP="00544F6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4.2. Минимални ценообразуващи фактори:</w:t>
      </w:r>
    </w:p>
    <w:p w:rsidR="00944D39" w:rsidRDefault="00944D39" w:rsidP="00944D39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>- средна часова ставка – 3,00 лв.</w:t>
      </w:r>
    </w:p>
    <w:p w:rsidR="00944D39" w:rsidRDefault="00944D39" w:rsidP="00944D39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>- допълнителни разходи върху труда – 90 %</w:t>
      </w:r>
    </w:p>
    <w:p w:rsidR="00944D39" w:rsidRDefault="00944D39" w:rsidP="00944D39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>- допълнителни разходи върху механизацията – 40 %</w:t>
      </w:r>
    </w:p>
    <w:p w:rsidR="00944D39" w:rsidRDefault="00944D39" w:rsidP="00944D39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>- печалба – 10 %</w:t>
      </w:r>
    </w:p>
    <w:p w:rsidR="00944D39" w:rsidRDefault="00944D39" w:rsidP="00944D39">
      <w:pPr>
        <w:tabs>
          <w:tab w:val="left" w:pos="360"/>
        </w:tabs>
        <w:ind w:firstLine="709"/>
        <w:jc w:val="both"/>
        <w:rPr>
          <w:bCs/>
        </w:rPr>
      </w:pPr>
    </w:p>
    <w:p w:rsidR="00944D39" w:rsidRDefault="00944D39" w:rsidP="00944D39">
      <w:pPr>
        <w:tabs>
          <w:tab w:val="left" w:pos="360"/>
        </w:tabs>
        <w:jc w:val="both"/>
        <w:rPr>
          <w:b/>
          <w:bCs/>
        </w:rPr>
      </w:pPr>
      <w:r w:rsidRPr="00944D39">
        <w:rPr>
          <w:b/>
          <w:bCs/>
        </w:rPr>
        <w:t>4.3. Прогнозна</w:t>
      </w:r>
      <w:r>
        <w:rPr>
          <w:b/>
          <w:bCs/>
        </w:rPr>
        <w:t xml:space="preserve"> цена – 16,00 лв. за един куб. м. сгурия или едрогабаритен отпадък</w:t>
      </w:r>
    </w:p>
    <w:p w:rsidR="00944D39" w:rsidRDefault="00944D39" w:rsidP="00944D39">
      <w:pPr>
        <w:tabs>
          <w:tab w:val="left" w:pos="360"/>
        </w:tabs>
        <w:jc w:val="both"/>
        <w:rPr>
          <w:b/>
          <w:bCs/>
        </w:rPr>
      </w:pPr>
    </w:p>
    <w:p w:rsidR="00315303" w:rsidRPr="0051572D" w:rsidRDefault="004A17DB" w:rsidP="00544F6F">
      <w:pPr>
        <w:tabs>
          <w:tab w:val="left" w:pos="360"/>
        </w:tabs>
        <w:jc w:val="both"/>
        <w:rPr>
          <w:b/>
          <w:bCs/>
          <w:i/>
          <w:iCs/>
          <w:u w:val="single"/>
        </w:rPr>
      </w:pPr>
      <w:r>
        <w:rPr>
          <w:b/>
          <w:bCs/>
        </w:rPr>
        <w:t>5</w:t>
      </w:r>
      <w:r w:rsidR="00315303">
        <w:rPr>
          <w:b/>
          <w:bCs/>
        </w:rPr>
        <w:t xml:space="preserve">. </w:t>
      </w:r>
      <w:r w:rsidR="00544F6F">
        <w:rPr>
          <w:b/>
          <w:bCs/>
        </w:rPr>
        <w:t>К</w:t>
      </w:r>
      <w:r w:rsidR="00544F6F" w:rsidRPr="0051572D">
        <w:rPr>
          <w:b/>
          <w:bCs/>
        </w:rPr>
        <w:t>РИТЕРИЙ ЗА ОЦЕНКА НА ОФЕРТИТЕ</w:t>
      </w:r>
      <w:r w:rsidR="00544F6F">
        <w:rPr>
          <w:b/>
          <w:bCs/>
        </w:rPr>
        <w:t xml:space="preserve"> </w:t>
      </w:r>
      <w:r w:rsidR="00315303">
        <w:rPr>
          <w:b/>
          <w:bCs/>
        </w:rPr>
        <w:t xml:space="preserve">– </w:t>
      </w:r>
      <w:r w:rsidR="00315303" w:rsidRPr="0051572D">
        <w:t>Критерият</w:t>
      </w:r>
      <w:r w:rsidR="00315303">
        <w:t xml:space="preserve"> </w:t>
      </w:r>
      <w:r w:rsidR="00315303" w:rsidRPr="0051572D">
        <w:t xml:space="preserve"> за оценка на офертите по настоящата обществена поръчка е </w:t>
      </w:r>
      <w:r w:rsidR="00315303" w:rsidRPr="0051572D">
        <w:rPr>
          <w:i/>
          <w:iCs/>
          <w:u w:val="single"/>
        </w:rPr>
        <w:t>„</w:t>
      </w:r>
      <w:r w:rsidR="00315303">
        <w:rPr>
          <w:i/>
          <w:iCs/>
          <w:u w:val="single"/>
        </w:rPr>
        <w:t>икономически най-изгодна оферта</w:t>
      </w:r>
      <w:r w:rsidR="00315303" w:rsidRPr="0051572D">
        <w:rPr>
          <w:i/>
          <w:iCs/>
          <w:u w:val="single"/>
        </w:rPr>
        <w:t>”.</w:t>
      </w:r>
    </w:p>
    <w:p w:rsidR="00315303" w:rsidRPr="00B41112" w:rsidRDefault="00315303" w:rsidP="00315303">
      <w:pPr>
        <w:pStyle w:val="a3"/>
        <w:spacing w:before="120"/>
        <w:ind w:left="0" w:right="-244" w:firstLine="708"/>
        <w:jc w:val="both"/>
      </w:pPr>
      <w:r w:rsidRPr="00B41112">
        <w:t>Показателите, формиращи комплексната оценка на офертите са:</w:t>
      </w:r>
    </w:p>
    <w:p w:rsidR="00315303" w:rsidRPr="00FE3201" w:rsidRDefault="00315303" w:rsidP="00315303">
      <w:pPr>
        <w:pStyle w:val="a3"/>
        <w:spacing w:before="120"/>
        <w:ind w:left="0" w:right="-244" w:firstLine="708"/>
        <w:jc w:val="both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6749"/>
        <w:gridCol w:w="1980"/>
      </w:tblGrid>
      <w:tr w:rsidR="00315303" w:rsidRPr="00D9715D" w:rsidTr="00B168D7">
        <w:tc>
          <w:tcPr>
            <w:tcW w:w="559" w:type="dxa"/>
            <w:shd w:val="clear" w:color="auto" w:fill="C2D69B" w:themeFill="accent3" w:themeFillTint="99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749" w:type="dxa"/>
            <w:shd w:val="clear" w:color="auto" w:fill="C2D69B" w:themeFill="accent3" w:themeFillTint="99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Показател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315303" w:rsidRPr="00B41112" w:rsidRDefault="00315303" w:rsidP="00B168D7">
            <w:pPr>
              <w:tabs>
                <w:tab w:val="left" w:pos="1898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Тежест в КО</w:t>
            </w:r>
          </w:p>
        </w:tc>
      </w:tr>
      <w:tr w:rsidR="00315303" w:rsidRPr="00D9715D" w:rsidTr="00B168D7">
        <w:trPr>
          <w:trHeight w:val="1572"/>
        </w:trPr>
        <w:tc>
          <w:tcPr>
            <w:tcW w:w="559" w:type="dxa"/>
            <w:shd w:val="clear" w:color="auto" w:fill="EAF1DD" w:themeFill="accent3" w:themeFillTint="33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1</w:t>
            </w:r>
          </w:p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</w:p>
        </w:tc>
        <w:tc>
          <w:tcPr>
            <w:tcW w:w="6749" w:type="dxa"/>
            <w:shd w:val="clear" w:color="auto" w:fill="EAF1DD" w:themeFill="accent3" w:themeFillTint="33"/>
          </w:tcPr>
          <w:p w:rsidR="00544F6F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both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 xml:space="preserve">Предложение за изпълнение на поръчката </w:t>
            </w:r>
          </w:p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both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(техническа оферта)</w:t>
            </w:r>
          </w:p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both"/>
            </w:pPr>
            <w:r w:rsidRPr="00B41112">
              <w:rPr>
                <w:sz w:val="22"/>
                <w:szCs w:val="22"/>
              </w:rPr>
              <w:t xml:space="preserve">Срок за реакция </w:t>
            </w:r>
            <w:r w:rsidRPr="00B41112">
              <w:rPr>
                <w:b/>
                <w:sz w:val="22"/>
                <w:szCs w:val="22"/>
              </w:rPr>
              <w:t>П1</w:t>
            </w:r>
            <w:r w:rsidRPr="00B41112">
              <w:rPr>
                <w:sz w:val="22"/>
                <w:szCs w:val="22"/>
              </w:rPr>
              <w:t xml:space="preserve"> - 20%</w:t>
            </w:r>
          </w:p>
          <w:p w:rsidR="00315303" w:rsidRPr="00350A1E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both"/>
            </w:pPr>
            <w:r w:rsidRPr="00B41112">
              <w:rPr>
                <w:sz w:val="22"/>
                <w:szCs w:val="22"/>
              </w:rPr>
              <w:t xml:space="preserve">Техническо предложение </w:t>
            </w:r>
            <w:r w:rsidRPr="00B41112">
              <w:rPr>
                <w:b/>
                <w:sz w:val="22"/>
                <w:szCs w:val="22"/>
              </w:rPr>
              <w:t>П2</w:t>
            </w:r>
            <w:r w:rsidRPr="00B4111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4</w:t>
            </w:r>
            <w:r w:rsidRPr="00B41112">
              <w:rPr>
                <w:sz w:val="22"/>
                <w:szCs w:val="22"/>
              </w:rPr>
              <w:t>0 %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41112">
              <w:rPr>
                <w:b/>
                <w:sz w:val="22"/>
                <w:szCs w:val="22"/>
              </w:rPr>
              <w:t>0%</w:t>
            </w:r>
          </w:p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</w:pPr>
          </w:p>
        </w:tc>
      </w:tr>
      <w:tr w:rsidR="00315303" w:rsidRPr="00D9715D" w:rsidTr="00B168D7">
        <w:tc>
          <w:tcPr>
            <w:tcW w:w="559" w:type="dxa"/>
            <w:shd w:val="clear" w:color="auto" w:fill="EAF1DD" w:themeFill="accent3" w:themeFillTint="33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49" w:type="dxa"/>
            <w:shd w:val="clear" w:color="auto" w:fill="EAF1DD" w:themeFill="accent3" w:themeFillTint="33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both"/>
              <w:rPr>
                <w:b/>
              </w:rPr>
            </w:pPr>
            <w:r w:rsidRPr="00B41112">
              <w:rPr>
                <w:b/>
                <w:sz w:val="22"/>
                <w:szCs w:val="22"/>
              </w:rPr>
              <w:t>Ценово предложение П3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15303" w:rsidRPr="00B41112" w:rsidRDefault="00315303" w:rsidP="00B168D7">
            <w:pPr>
              <w:tabs>
                <w:tab w:val="left" w:pos="709"/>
              </w:tabs>
              <w:snapToGrid w:val="0"/>
              <w:spacing w:line="360" w:lineRule="auto"/>
              <w:ind w:right="-244" w:firstLine="7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41112">
              <w:rPr>
                <w:b/>
                <w:sz w:val="22"/>
                <w:szCs w:val="22"/>
              </w:rPr>
              <w:t>0%</w:t>
            </w:r>
          </w:p>
        </w:tc>
      </w:tr>
    </w:tbl>
    <w:p w:rsidR="00315303" w:rsidRPr="00D9715D" w:rsidRDefault="00315303" w:rsidP="00315303">
      <w:pPr>
        <w:pStyle w:val="a3"/>
        <w:spacing w:before="120" w:after="120"/>
        <w:ind w:left="0" w:right="-244" w:firstLine="708"/>
        <w:jc w:val="both"/>
      </w:pPr>
    </w:p>
    <w:p w:rsidR="00315303" w:rsidRPr="00B41112" w:rsidRDefault="00315303" w:rsidP="00315303">
      <w:pPr>
        <w:pStyle w:val="a3"/>
        <w:spacing w:before="120" w:after="120"/>
        <w:ind w:left="0" w:right="-244" w:firstLine="708"/>
        <w:jc w:val="both"/>
      </w:pPr>
      <w:r w:rsidRPr="00B41112">
        <w:t>Комплексната оценка (</w:t>
      </w:r>
      <w:r w:rsidRPr="00B41112">
        <w:rPr>
          <w:b/>
        </w:rPr>
        <w:t>КО</w:t>
      </w:r>
      <w:r w:rsidRPr="00B41112">
        <w:t>) се определя като сбор от оценките по посочените по-горе основни показатели, умножени по коефициент определящ тежестта им в общата оценка, изразено чрез следната формула:</w:t>
      </w:r>
    </w:p>
    <w:p w:rsidR="00315303" w:rsidRPr="00B41112" w:rsidRDefault="00315303" w:rsidP="00315303">
      <w:pPr>
        <w:pStyle w:val="a3"/>
        <w:spacing w:before="120" w:after="120"/>
        <w:ind w:left="0" w:right="-244" w:firstLine="708"/>
        <w:jc w:val="both"/>
      </w:pPr>
    </w:p>
    <w:p w:rsidR="00315303" w:rsidRPr="00B41112" w:rsidRDefault="00315303" w:rsidP="00315303">
      <w:pPr>
        <w:pStyle w:val="a3"/>
        <w:spacing w:before="120" w:after="120"/>
        <w:ind w:left="0" w:right="-244" w:firstLine="708"/>
        <w:jc w:val="center"/>
        <w:rPr>
          <w:b/>
        </w:rPr>
      </w:pPr>
      <w:r w:rsidRPr="00B41112">
        <w:rPr>
          <w:b/>
        </w:rPr>
        <w:t>КО= (П1 х 0.2</w:t>
      </w:r>
      <w:r>
        <w:rPr>
          <w:b/>
        </w:rPr>
        <w:t>) + (П2 х 0.4</w:t>
      </w:r>
      <w:r w:rsidRPr="00B41112">
        <w:rPr>
          <w:b/>
        </w:rPr>
        <w:t>) + (П3 х 0.4)</w:t>
      </w:r>
    </w:p>
    <w:p w:rsidR="00315303" w:rsidRPr="00D9715D" w:rsidRDefault="00315303" w:rsidP="00315303">
      <w:pPr>
        <w:pStyle w:val="a3"/>
        <w:spacing w:before="120" w:after="120"/>
        <w:ind w:left="0" w:right="-244" w:firstLine="708"/>
        <w:jc w:val="center"/>
        <w:rPr>
          <w:b/>
        </w:rPr>
      </w:pPr>
    </w:p>
    <w:p w:rsidR="00315303" w:rsidRPr="00D9715D" w:rsidRDefault="00315303" w:rsidP="00315303">
      <w:pPr>
        <w:spacing w:before="120" w:after="120"/>
        <w:ind w:right="-244" w:firstLine="708"/>
        <w:jc w:val="both"/>
      </w:pPr>
      <w:r w:rsidRPr="00D9715D">
        <w:rPr>
          <w:b/>
        </w:rPr>
        <w:t xml:space="preserve">1.  Срок за реакция П1: </w:t>
      </w:r>
      <w:r w:rsidRPr="00D9715D">
        <w:t xml:space="preserve">оценява се предложения от участника срок за реакция при аварийни ситуации. Срокът за реакция не може да бъде по- голям от 60 (шестдесет) минути. </w:t>
      </w:r>
    </w:p>
    <w:p w:rsidR="00315303" w:rsidRPr="00D9715D" w:rsidRDefault="00315303" w:rsidP="00315303">
      <w:pPr>
        <w:spacing w:before="120" w:after="120"/>
        <w:ind w:right="-244" w:firstLine="708"/>
        <w:jc w:val="both"/>
        <w:rPr>
          <w:i/>
          <w:u w:val="single"/>
        </w:rPr>
      </w:pPr>
      <w:r w:rsidRPr="00D9715D">
        <w:rPr>
          <w:i/>
          <w:u w:val="single"/>
        </w:rPr>
        <w:t>Предложенията по показател Срок за реакция се представят като цяло число в минути. Ще бъдат отстранени предложения, в които срокът за реакция е в различна мерна единица, , или е предложен срок, който е извън определените максимален срок за реакция при аварии.</w:t>
      </w:r>
    </w:p>
    <w:p w:rsidR="00315303" w:rsidRPr="00D9715D" w:rsidRDefault="00315303" w:rsidP="00315303">
      <w:pPr>
        <w:spacing w:before="120" w:after="120"/>
        <w:ind w:right="-244" w:firstLine="708"/>
        <w:jc w:val="both"/>
      </w:pPr>
      <w:r w:rsidRPr="00D9715D">
        <w:t xml:space="preserve">Участникът предложил най-кратък срок за реакция получава максимален брой точки по показателя – 100 точки. Относителната тежест на показателя в </w:t>
      </w:r>
      <w:r w:rsidRPr="00D9715D">
        <w:rPr>
          <w:b/>
        </w:rPr>
        <w:t>КО</w:t>
      </w:r>
      <w:r w:rsidRPr="00D9715D">
        <w:t xml:space="preserve"> е 20%. Оценките на участниците се изчисляват по формулата: </w:t>
      </w:r>
      <w:r>
        <w:rPr>
          <w:b/>
        </w:rPr>
        <w:t xml:space="preserve">П1= Сmin / Сi </w:t>
      </w:r>
      <w:r w:rsidRPr="00D9715D">
        <w:rPr>
          <w:b/>
        </w:rPr>
        <w:t>х</w:t>
      </w:r>
      <w:r>
        <w:rPr>
          <w:b/>
        </w:rPr>
        <w:t xml:space="preserve"> </w:t>
      </w:r>
      <w:r w:rsidRPr="00D9715D">
        <w:rPr>
          <w:b/>
        </w:rPr>
        <w:t>100=..... (точки)</w:t>
      </w:r>
      <w:r w:rsidRPr="00D9715D">
        <w:t xml:space="preserve">, където: </w:t>
      </w:r>
    </w:p>
    <w:p w:rsidR="00315303" w:rsidRPr="00D9715D" w:rsidRDefault="00315303" w:rsidP="00315303">
      <w:pPr>
        <w:spacing w:before="120" w:after="120"/>
        <w:ind w:right="-244" w:firstLine="708"/>
        <w:jc w:val="both"/>
      </w:pPr>
      <w:r w:rsidRPr="00D9715D">
        <w:rPr>
          <w:b/>
        </w:rPr>
        <w:t>Сi</w:t>
      </w:r>
      <w:r w:rsidRPr="00D9715D">
        <w:t xml:space="preserve"> е предложения срок на изпълнение съгласно Техническото предложение на съответния участник; </w:t>
      </w:r>
    </w:p>
    <w:p w:rsidR="00315303" w:rsidRPr="00D9715D" w:rsidRDefault="00315303" w:rsidP="00315303">
      <w:pPr>
        <w:spacing w:before="120" w:after="120"/>
        <w:ind w:right="-244" w:firstLine="708"/>
        <w:jc w:val="both"/>
      </w:pPr>
      <w:r w:rsidRPr="00D9715D">
        <w:rPr>
          <w:b/>
        </w:rPr>
        <w:t>Сmin</w:t>
      </w:r>
      <w:r w:rsidRPr="00D9715D">
        <w:t xml:space="preserve"> е минималния предложен срок на изпълнение съгласно Техническите предложения от всички допуснати до оценка участници.</w:t>
      </w:r>
    </w:p>
    <w:p w:rsidR="00315303" w:rsidRPr="00A57244" w:rsidRDefault="00315303" w:rsidP="00A57244">
      <w:pPr>
        <w:ind w:right="-244" w:firstLine="708"/>
        <w:jc w:val="both"/>
        <w:rPr>
          <w:b/>
          <w:bCs/>
          <w:lang w:val="en-US"/>
        </w:rPr>
      </w:pPr>
      <w:r w:rsidRPr="00D9715D">
        <w:rPr>
          <w:b/>
        </w:rPr>
        <w:t xml:space="preserve">2. Техническо предложение П2: </w:t>
      </w:r>
      <w:r>
        <w:rPr>
          <w:b/>
        </w:rPr>
        <w:t xml:space="preserve">Стратегия за изпълнение на договора. </w:t>
      </w:r>
      <w:r w:rsidRPr="00D9715D">
        <w:t>Максимален брой точки по показателя - 100 точки. Относителна тежест на показ</w:t>
      </w:r>
      <w:r>
        <w:t>ателя в комплексната оценка е 40</w:t>
      </w:r>
      <w:r w:rsidRPr="00D9715D">
        <w:t xml:space="preserve">%. </w:t>
      </w:r>
    </w:p>
    <w:p w:rsidR="006A757F" w:rsidRDefault="006A757F" w:rsidP="00451F99">
      <w:pPr>
        <w:ind w:right="-244" w:firstLine="709"/>
        <w:jc w:val="both"/>
      </w:pPr>
    </w:p>
    <w:p w:rsidR="00315303" w:rsidRDefault="00315303" w:rsidP="00451F99">
      <w:pPr>
        <w:ind w:right="-244" w:firstLine="709"/>
        <w:jc w:val="both"/>
      </w:pPr>
      <w:r>
        <w:t>Участник</w:t>
      </w:r>
      <w:r w:rsidR="00451F99">
        <w:t>ът</w:t>
      </w:r>
      <w:r>
        <w:t xml:space="preserve"> следва да засегне следните точки при изготвяне на техническото предложение:</w:t>
      </w:r>
    </w:p>
    <w:p w:rsidR="00315303" w:rsidRPr="00B41112" w:rsidRDefault="00315303" w:rsidP="00315303">
      <w:pPr>
        <w:ind w:right="-244" w:firstLine="708"/>
        <w:jc w:val="both"/>
        <w:rPr>
          <w:b/>
        </w:rPr>
      </w:pPr>
      <w:r>
        <w:rPr>
          <w:b/>
        </w:rPr>
        <w:t>Стратегия за изпълнение на договора</w:t>
      </w:r>
    </w:p>
    <w:p w:rsidR="00315303" w:rsidRPr="00B41112" w:rsidRDefault="00315303" w:rsidP="00315303">
      <w:pPr>
        <w:ind w:right="-244" w:firstLine="708"/>
        <w:jc w:val="both"/>
      </w:pPr>
      <w:r w:rsidRPr="00B41112">
        <w:t>Участниците в поръчката да представят разяснения по следните точки:</w:t>
      </w:r>
    </w:p>
    <w:p w:rsidR="00315303" w:rsidRPr="00B41112" w:rsidRDefault="00315303" w:rsidP="00315303">
      <w:pPr>
        <w:pStyle w:val="a3"/>
        <w:numPr>
          <w:ilvl w:val="0"/>
          <w:numId w:val="7"/>
        </w:numPr>
        <w:ind w:right="-244"/>
        <w:jc w:val="both"/>
      </w:pPr>
      <w:r w:rsidRPr="00B41112">
        <w:t>Организация на работния процес за осигуряване на пълна заетост на техническото оборудване за отделните дейности;</w:t>
      </w:r>
    </w:p>
    <w:p w:rsidR="00315303" w:rsidRPr="00B41112" w:rsidRDefault="00315303" w:rsidP="00315303">
      <w:pPr>
        <w:pStyle w:val="a3"/>
        <w:numPr>
          <w:ilvl w:val="0"/>
          <w:numId w:val="7"/>
        </w:numPr>
        <w:ind w:right="-244"/>
        <w:jc w:val="both"/>
      </w:pPr>
      <w:r w:rsidRPr="00B41112">
        <w:t>Посочване на производителността на механизацията за една машиносмяна и пропорционално за един мото/час;</w:t>
      </w:r>
    </w:p>
    <w:p w:rsidR="00315303" w:rsidRPr="00B41112" w:rsidRDefault="00315303" w:rsidP="00315303">
      <w:pPr>
        <w:pStyle w:val="a3"/>
        <w:numPr>
          <w:ilvl w:val="0"/>
          <w:numId w:val="7"/>
        </w:numPr>
        <w:ind w:right="-244"/>
        <w:jc w:val="both"/>
      </w:pPr>
      <w:r w:rsidRPr="00B41112">
        <w:t>Описание на видовете дейности и тяхната последователност на изпълнение;</w:t>
      </w:r>
    </w:p>
    <w:p w:rsidR="00315303" w:rsidRPr="00B41112" w:rsidRDefault="00315303" w:rsidP="00315303">
      <w:pPr>
        <w:pStyle w:val="a3"/>
        <w:numPr>
          <w:ilvl w:val="0"/>
          <w:numId w:val="7"/>
        </w:numPr>
        <w:ind w:right="-244"/>
        <w:jc w:val="both"/>
      </w:pPr>
      <w:r w:rsidRPr="00B41112">
        <w:t>Взаимовръзка между оборудването и човешките ресурси, които ще се използват при изпълнение на отделните дейности;</w:t>
      </w:r>
    </w:p>
    <w:p w:rsidR="00315303" w:rsidRPr="00B41112" w:rsidRDefault="00315303" w:rsidP="00315303">
      <w:pPr>
        <w:pStyle w:val="a3"/>
        <w:numPr>
          <w:ilvl w:val="0"/>
          <w:numId w:val="7"/>
        </w:numPr>
        <w:ind w:right="-244"/>
        <w:jc w:val="both"/>
      </w:pPr>
      <w:r w:rsidRPr="00B41112">
        <w:t>Организация и план за своевременно депониране на отпадъци;</w:t>
      </w:r>
    </w:p>
    <w:p w:rsidR="00315303" w:rsidRPr="00B41112" w:rsidRDefault="00315303" w:rsidP="00315303">
      <w:pPr>
        <w:pStyle w:val="a3"/>
        <w:numPr>
          <w:ilvl w:val="0"/>
          <w:numId w:val="7"/>
        </w:numPr>
        <w:ind w:right="-244"/>
        <w:jc w:val="both"/>
      </w:pPr>
      <w:r w:rsidRPr="00B41112">
        <w:t>Обезопасяване на терена за работа.</w:t>
      </w:r>
    </w:p>
    <w:p w:rsidR="00315303" w:rsidRPr="00B41112" w:rsidRDefault="00315303" w:rsidP="00315303">
      <w:pPr>
        <w:ind w:left="705" w:right="-24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691"/>
        <w:gridCol w:w="1077"/>
      </w:tblGrid>
      <w:tr w:rsidR="00315303" w:rsidRPr="00D9715D" w:rsidTr="0049734B">
        <w:trPr>
          <w:trHeight w:val="386"/>
        </w:trPr>
        <w:tc>
          <w:tcPr>
            <w:tcW w:w="696" w:type="dxa"/>
            <w:shd w:val="clear" w:color="auto" w:fill="C2D69B"/>
          </w:tcPr>
          <w:p w:rsidR="00315303" w:rsidRPr="00D9715D" w:rsidRDefault="00315303" w:rsidP="00B168D7">
            <w:pPr>
              <w:ind w:right="-244" w:firstLine="708"/>
              <w:jc w:val="center"/>
              <w:rPr>
                <w:b/>
              </w:rPr>
            </w:pPr>
            <w:r w:rsidRPr="00D9715D">
              <w:rPr>
                <w:b/>
              </w:rPr>
              <w:t>№</w:t>
            </w:r>
          </w:p>
        </w:tc>
        <w:tc>
          <w:tcPr>
            <w:tcW w:w="7691" w:type="dxa"/>
            <w:shd w:val="clear" w:color="auto" w:fill="C2D69B"/>
          </w:tcPr>
          <w:p w:rsidR="00315303" w:rsidRPr="00D9715D" w:rsidRDefault="00315303" w:rsidP="00B168D7">
            <w:pPr>
              <w:ind w:right="-244" w:firstLine="708"/>
              <w:jc w:val="center"/>
              <w:rPr>
                <w:b/>
              </w:rPr>
            </w:pPr>
            <w:r>
              <w:rPr>
                <w:b/>
              </w:rPr>
              <w:t>Стратегия за изпълнение на договора</w:t>
            </w:r>
          </w:p>
        </w:tc>
        <w:tc>
          <w:tcPr>
            <w:tcW w:w="1077" w:type="dxa"/>
            <w:shd w:val="clear" w:color="auto" w:fill="C2D69B"/>
          </w:tcPr>
          <w:p w:rsidR="00315303" w:rsidRPr="00D9715D" w:rsidRDefault="00315303" w:rsidP="00B168D7">
            <w:pPr>
              <w:ind w:right="-244"/>
              <w:jc w:val="center"/>
              <w:rPr>
                <w:b/>
                <w:bCs/>
                <w:iCs/>
              </w:rPr>
            </w:pPr>
            <w:r w:rsidRPr="00D9715D">
              <w:rPr>
                <w:b/>
              </w:rPr>
              <w:t>Оценка</w:t>
            </w:r>
          </w:p>
        </w:tc>
      </w:tr>
      <w:tr w:rsidR="00315303" w:rsidRPr="00D9715D" w:rsidTr="0049734B">
        <w:trPr>
          <w:trHeight w:val="2235"/>
        </w:trPr>
        <w:tc>
          <w:tcPr>
            <w:tcW w:w="696" w:type="dxa"/>
          </w:tcPr>
          <w:p w:rsidR="00315303" w:rsidRPr="00D9715D" w:rsidRDefault="00315303" w:rsidP="00B168D7">
            <w:pPr>
              <w:ind w:right="-244" w:firstLine="708"/>
              <w:jc w:val="both"/>
            </w:pPr>
            <w:r w:rsidRPr="00D9715D">
              <w:t>1.</w:t>
            </w:r>
          </w:p>
        </w:tc>
        <w:tc>
          <w:tcPr>
            <w:tcW w:w="7691" w:type="dxa"/>
          </w:tcPr>
          <w:p w:rsidR="00315303" w:rsidRPr="00D9715D" w:rsidRDefault="00315303" w:rsidP="00B168D7">
            <w:pPr>
              <w:ind w:right="161"/>
              <w:jc w:val="both"/>
            </w:pPr>
            <w:r>
              <w:t>П</w:t>
            </w:r>
            <w:r w:rsidRPr="00D9715D">
              <w:t>редложение</w:t>
            </w:r>
            <w:r>
              <w:t>то</w:t>
            </w:r>
            <w:r w:rsidRPr="00D9715D">
              <w:t xml:space="preserve"> съдържа ясно и подробно </w:t>
            </w:r>
            <w:r>
              <w:t>описание</w:t>
            </w:r>
            <w:r w:rsidRPr="00D9715D">
              <w:t xml:space="preserve"> </w:t>
            </w:r>
            <w:r>
              <w:t>на техническите решения за изпълнение на</w:t>
            </w:r>
            <w:r w:rsidRPr="00D9715D">
              <w:t xml:space="preserve"> дейности</w:t>
            </w:r>
            <w:r>
              <w:t>те</w:t>
            </w:r>
            <w:r w:rsidRPr="00D9715D">
              <w:t xml:space="preserve"> в техническото задание</w:t>
            </w:r>
            <w:r>
              <w:t>, включващи използването на най-подходящия вид механизация за извършване на отделните дейности</w:t>
            </w:r>
            <w:r w:rsidRPr="00D9715D">
              <w:t>.</w:t>
            </w:r>
            <w:r>
              <w:t xml:space="preserve"> Участникът е предложил решение, което в най-голяма степен оптимизира процеса на изпълнение на услугата, т.е. достигната е икономичност при изпълнението в съотношение време-ресурс.</w:t>
            </w:r>
            <w:r w:rsidRPr="00D9715D">
              <w:t xml:space="preserve"> Взаимовръзката между отделните действия и връзката им с използваното </w:t>
            </w:r>
            <w:r>
              <w:t xml:space="preserve">на </w:t>
            </w:r>
            <w:r w:rsidRPr="00D9715D">
              <w:t xml:space="preserve">оборудване и човешки ресурси е много добре обоснована. Описанието показва много ясно и задълбочено познаване на конкретната задача. </w:t>
            </w:r>
            <w:r>
              <w:t>Участникът е описал</w:t>
            </w:r>
            <w:r w:rsidRPr="00D9715D">
              <w:t xml:space="preserve"> нормативни</w:t>
            </w:r>
            <w:r>
              <w:t>те</w:t>
            </w:r>
            <w:r w:rsidRPr="00D9715D">
              <w:t xml:space="preserve"> изисквания</w:t>
            </w:r>
            <w:r>
              <w:t>, които ще се спазват п</w:t>
            </w:r>
            <w:r w:rsidRPr="00D9715D">
              <w:t xml:space="preserve">ри изпълнение на </w:t>
            </w:r>
            <w:r>
              <w:t>отделните дейности</w:t>
            </w:r>
            <w:r w:rsidRPr="00D9715D">
              <w:t xml:space="preserve">. </w:t>
            </w:r>
          </w:p>
        </w:tc>
        <w:tc>
          <w:tcPr>
            <w:tcW w:w="1077" w:type="dxa"/>
          </w:tcPr>
          <w:p w:rsidR="00315303" w:rsidRPr="00D9715D" w:rsidRDefault="00315303" w:rsidP="0049734B">
            <w:pPr>
              <w:ind w:right="-24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Pr="00D9715D">
              <w:rPr>
                <w:b/>
                <w:bCs/>
                <w:iCs/>
              </w:rPr>
              <w:t>0</w:t>
            </w:r>
          </w:p>
        </w:tc>
      </w:tr>
      <w:tr w:rsidR="00315303" w:rsidRPr="00D9715D" w:rsidTr="0049734B">
        <w:tc>
          <w:tcPr>
            <w:tcW w:w="696" w:type="dxa"/>
          </w:tcPr>
          <w:p w:rsidR="00315303" w:rsidRPr="00D9715D" w:rsidRDefault="00315303" w:rsidP="00B168D7">
            <w:pPr>
              <w:ind w:right="-244" w:firstLine="708"/>
              <w:jc w:val="both"/>
            </w:pPr>
            <w:r w:rsidRPr="00D9715D">
              <w:t>2.</w:t>
            </w:r>
          </w:p>
        </w:tc>
        <w:tc>
          <w:tcPr>
            <w:tcW w:w="7691" w:type="dxa"/>
          </w:tcPr>
          <w:p w:rsidR="00315303" w:rsidRPr="00D9715D" w:rsidRDefault="00315303" w:rsidP="00B168D7">
            <w:pPr>
              <w:ind w:right="161"/>
              <w:jc w:val="both"/>
            </w:pPr>
            <w:r>
              <w:t>П</w:t>
            </w:r>
            <w:r w:rsidRPr="00D9715D">
              <w:t>редложение</w:t>
            </w:r>
            <w:r>
              <w:t>то</w:t>
            </w:r>
            <w:r w:rsidRPr="00D9715D">
              <w:t xml:space="preserve"> съдържа описание на </w:t>
            </w:r>
            <w:r>
              <w:t>техническите решения за изпълнение на</w:t>
            </w:r>
            <w:r w:rsidRPr="00D9715D">
              <w:t xml:space="preserve"> дейности</w:t>
            </w:r>
            <w:r>
              <w:t>те</w:t>
            </w:r>
            <w:r w:rsidRPr="00D9715D">
              <w:t xml:space="preserve"> в техническото задание, но същите са </w:t>
            </w:r>
            <w:r>
              <w:t>описани схематично, като участникът е посочил използването на най-подходящия вид механизация за извършване само на някои дейности</w:t>
            </w:r>
            <w:r w:rsidRPr="00D9715D">
              <w:t>.</w:t>
            </w:r>
            <w:r>
              <w:t xml:space="preserve"> Участникът е предложил решение, което в най-голяма степен оптимизира процеса на изпълнение само на част от дейностите, описани в техническата спецификация.</w:t>
            </w:r>
            <w:r w:rsidRPr="00D9715D">
              <w:t xml:space="preserve"> Взаимовръзката между отделните действия и връзката им с използваното оборудване и човешки ресурси </w:t>
            </w:r>
            <w:r>
              <w:t>н</w:t>
            </w:r>
            <w:r w:rsidRPr="00D9715D">
              <w:t xml:space="preserve">е </w:t>
            </w:r>
            <w:r>
              <w:t xml:space="preserve">е достатъчно </w:t>
            </w:r>
            <w:r w:rsidRPr="00D9715D">
              <w:t xml:space="preserve">добре обоснована. </w:t>
            </w:r>
          </w:p>
        </w:tc>
        <w:tc>
          <w:tcPr>
            <w:tcW w:w="1077" w:type="dxa"/>
          </w:tcPr>
          <w:p w:rsidR="00315303" w:rsidRPr="00D9715D" w:rsidRDefault="00315303" w:rsidP="0049734B">
            <w:pPr>
              <w:ind w:right="-244" w:firstLine="26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Pr="00D9715D">
              <w:rPr>
                <w:b/>
                <w:bCs/>
                <w:iCs/>
              </w:rPr>
              <w:t>0</w:t>
            </w:r>
          </w:p>
        </w:tc>
      </w:tr>
      <w:tr w:rsidR="00315303" w:rsidRPr="00D9715D" w:rsidTr="0049734B">
        <w:tc>
          <w:tcPr>
            <w:tcW w:w="696" w:type="dxa"/>
          </w:tcPr>
          <w:p w:rsidR="00315303" w:rsidRPr="00D9715D" w:rsidRDefault="00315303" w:rsidP="00B168D7">
            <w:pPr>
              <w:ind w:right="-244" w:firstLine="708"/>
              <w:jc w:val="both"/>
            </w:pPr>
            <w:r w:rsidRPr="00D9715D">
              <w:t>3.</w:t>
            </w:r>
          </w:p>
        </w:tc>
        <w:tc>
          <w:tcPr>
            <w:tcW w:w="7691" w:type="dxa"/>
          </w:tcPr>
          <w:p w:rsidR="00315303" w:rsidRPr="00D9715D" w:rsidRDefault="00315303" w:rsidP="00B168D7">
            <w:pPr>
              <w:ind w:right="161"/>
              <w:jc w:val="both"/>
            </w:pPr>
            <w:r>
              <w:t>П</w:t>
            </w:r>
            <w:r w:rsidRPr="00D9715D">
              <w:t>редложение</w:t>
            </w:r>
            <w:r>
              <w:t>то</w:t>
            </w:r>
            <w:r w:rsidRPr="00D9715D">
              <w:t xml:space="preserve"> съдържа схематично описание на </w:t>
            </w:r>
            <w:r>
              <w:t>техническите решения за изпълнение на</w:t>
            </w:r>
            <w:r w:rsidRPr="00D9715D">
              <w:t xml:space="preserve"> дейности</w:t>
            </w:r>
            <w:r>
              <w:t>те</w:t>
            </w:r>
            <w:r w:rsidRPr="00D9715D">
              <w:t xml:space="preserve"> в техническото задание</w:t>
            </w:r>
            <w:r>
              <w:t>, като участникът е описал механизацията, която ще използва за изпълнение на договора, но същата не отразява спецификата на отделните дейности</w:t>
            </w:r>
            <w:r w:rsidRPr="00D9715D">
              <w:t xml:space="preserve">. Описанието показва базисно познаване на </w:t>
            </w:r>
            <w:r>
              <w:t>задачите по договора</w:t>
            </w:r>
            <w:r w:rsidRPr="00D9715D">
              <w:t xml:space="preserve">. </w:t>
            </w:r>
            <w:r>
              <w:t xml:space="preserve">Описанието на взаимовръзката между отделните действия и връзката им </w:t>
            </w:r>
            <w:r w:rsidRPr="00D9715D">
              <w:t>използваното оборудване и човешки ресурси</w:t>
            </w:r>
            <w:r>
              <w:t xml:space="preserve"> е представено схематично.</w:t>
            </w:r>
          </w:p>
        </w:tc>
        <w:tc>
          <w:tcPr>
            <w:tcW w:w="1077" w:type="dxa"/>
          </w:tcPr>
          <w:p w:rsidR="00315303" w:rsidRPr="00D9715D" w:rsidRDefault="00315303" w:rsidP="0049734B">
            <w:pPr>
              <w:ind w:right="-244" w:firstLine="26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</w:tr>
      <w:tr w:rsidR="00315303" w:rsidRPr="00D9715D" w:rsidTr="00A57244">
        <w:tc>
          <w:tcPr>
            <w:tcW w:w="696" w:type="dxa"/>
          </w:tcPr>
          <w:p w:rsidR="00315303" w:rsidRPr="00D9715D" w:rsidRDefault="00315303" w:rsidP="00B168D7"/>
        </w:tc>
        <w:tc>
          <w:tcPr>
            <w:tcW w:w="7691" w:type="dxa"/>
          </w:tcPr>
          <w:p w:rsidR="00315303" w:rsidRPr="00D9715D" w:rsidRDefault="00315303" w:rsidP="00B168D7">
            <w:pPr>
              <w:ind w:right="162" w:firstLine="708"/>
              <w:jc w:val="both"/>
            </w:pPr>
          </w:p>
        </w:tc>
        <w:tc>
          <w:tcPr>
            <w:tcW w:w="1077" w:type="dxa"/>
          </w:tcPr>
          <w:p w:rsidR="00315303" w:rsidRPr="00D9715D" w:rsidRDefault="00315303" w:rsidP="00B168D7">
            <w:pPr>
              <w:tabs>
                <w:tab w:val="left" w:pos="971"/>
                <w:tab w:val="center" w:pos="1223"/>
              </w:tabs>
              <w:ind w:right="-244"/>
              <w:rPr>
                <w:b/>
                <w:bCs/>
                <w:iCs/>
              </w:rPr>
            </w:pPr>
          </w:p>
        </w:tc>
      </w:tr>
    </w:tbl>
    <w:p w:rsidR="00A57244" w:rsidRDefault="00A57244" w:rsidP="00A57244">
      <w:pPr>
        <w:tabs>
          <w:tab w:val="left" w:pos="993"/>
        </w:tabs>
        <w:spacing w:before="120" w:after="120"/>
        <w:ind w:right="-244"/>
        <w:jc w:val="both"/>
        <w:rPr>
          <w:i/>
          <w:color w:val="000000"/>
          <w:sz w:val="22"/>
          <w:szCs w:val="22"/>
        </w:rPr>
      </w:pPr>
    </w:p>
    <w:p w:rsidR="00315303" w:rsidRDefault="00315303" w:rsidP="00A57244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right="-244" w:firstLine="851"/>
        <w:jc w:val="both"/>
      </w:pPr>
      <w:r w:rsidRPr="00A57244">
        <w:rPr>
          <w:b/>
          <w:bCs/>
        </w:rPr>
        <w:t xml:space="preserve">Ценово предложение П3: </w:t>
      </w:r>
    </w:p>
    <w:p w:rsidR="00315303" w:rsidRPr="00D9715D" w:rsidRDefault="00315303" w:rsidP="00315303">
      <w:pPr>
        <w:tabs>
          <w:tab w:val="left" w:pos="993"/>
        </w:tabs>
        <w:spacing w:before="120" w:after="120"/>
        <w:ind w:right="-244"/>
        <w:jc w:val="both"/>
      </w:pPr>
      <w:r>
        <w:rPr>
          <w:b/>
          <w:bCs/>
        </w:rPr>
        <w:tab/>
      </w:r>
      <w:r w:rsidRPr="00D9715D">
        <w:t xml:space="preserve">Относителната тежест на показателя в </w:t>
      </w:r>
      <w:r w:rsidRPr="00BD4CA4">
        <w:rPr>
          <w:b/>
        </w:rPr>
        <w:t>КО</w:t>
      </w:r>
      <w:r w:rsidRPr="00D9715D">
        <w:t xml:space="preserve"> е 40%. Оценките на участниците се изчисляват по формулата:</w:t>
      </w:r>
      <w:r w:rsidRPr="00BD4CA4">
        <w:rPr>
          <w:bCs/>
        </w:rPr>
        <w:t xml:space="preserve"> </w:t>
      </w:r>
      <w:r w:rsidRPr="00DD4F4D">
        <w:rPr>
          <w:b/>
        </w:rPr>
        <w:t>П3= (</w:t>
      </w:r>
      <w:r w:rsidRPr="00BD4CA4">
        <w:rPr>
          <w:b/>
        </w:rPr>
        <w:t>Цmin / Цi) х 100= .... (точки)</w:t>
      </w:r>
      <w:r w:rsidRPr="00D9715D">
        <w:t>,</w:t>
      </w:r>
      <w:r w:rsidRPr="00BD4CA4">
        <w:rPr>
          <w:bCs/>
        </w:rPr>
        <w:t xml:space="preserve"> </w:t>
      </w:r>
      <w:r w:rsidRPr="00D9715D">
        <w:t>където:</w:t>
      </w:r>
    </w:p>
    <w:p w:rsidR="00315303" w:rsidRPr="00D9715D" w:rsidRDefault="00315303" w:rsidP="00315303">
      <w:pPr>
        <w:keepNext/>
        <w:spacing w:before="120" w:after="120"/>
        <w:ind w:right="-244" w:firstLine="708"/>
        <w:jc w:val="both"/>
        <w:outlineLvl w:val="2"/>
        <w:rPr>
          <w:bCs/>
        </w:rPr>
      </w:pPr>
      <w:r w:rsidRPr="00D9715D">
        <w:rPr>
          <w:b/>
        </w:rPr>
        <w:t>Цi</w:t>
      </w:r>
      <w:r w:rsidRPr="00D9715D">
        <w:t xml:space="preserve"> е предложената </w:t>
      </w:r>
      <w:r w:rsidRPr="00D9715D">
        <w:rPr>
          <w:b/>
        </w:rPr>
        <w:t>Обща цена</w:t>
      </w:r>
      <w:r w:rsidRPr="00D9715D">
        <w:t xml:space="preserve"> в лева без ДДС, от съответния участник.</w:t>
      </w:r>
    </w:p>
    <w:p w:rsidR="00315303" w:rsidRPr="00D9715D" w:rsidRDefault="00315303" w:rsidP="00315303">
      <w:pPr>
        <w:spacing w:after="200"/>
        <w:ind w:right="-244" w:firstLine="708"/>
        <w:contextualSpacing/>
        <w:jc w:val="both"/>
      </w:pPr>
      <w:r w:rsidRPr="00D9715D">
        <w:rPr>
          <w:b/>
        </w:rPr>
        <w:t>Цmin</w:t>
      </w:r>
      <w:r w:rsidRPr="00D9715D">
        <w:t xml:space="preserve"> е най-ниската предложена </w:t>
      </w:r>
      <w:r w:rsidRPr="00D9715D">
        <w:rPr>
          <w:b/>
        </w:rPr>
        <w:t>Обща цена</w:t>
      </w:r>
      <w:r w:rsidRPr="00D9715D">
        <w:t xml:space="preserve"> в лева без ДДС, съгласно ценовите предложения на всички допуснати до оценяване оферти.</w:t>
      </w:r>
    </w:p>
    <w:p w:rsidR="00315303" w:rsidRPr="0051572D" w:rsidRDefault="00315303" w:rsidP="00315303">
      <w:pPr>
        <w:tabs>
          <w:tab w:val="left" w:pos="374"/>
        </w:tabs>
        <w:jc w:val="both"/>
      </w:pPr>
    </w:p>
    <w:p w:rsidR="00025804" w:rsidRDefault="00315303" w:rsidP="00CA7E14">
      <w:pPr>
        <w:tabs>
          <w:tab w:val="left" w:pos="374"/>
        </w:tabs>
        <w:jc w:val="both"/>
      </w:pPr>
      <w:r w:rsidRPr="0051572D">
        <w:t>При разглеждане, оценка и класиране на предложенията на участниците се спазват разпоредбите на ЗОП и условията на Възложителя, заложени в настоящата документация.</w:t>
      </w:r>
    </w:p>
    <w:sectPr w:rsidR="00025804" w:rsidSect="00451F99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9D"/>
    <w:multiLevelType w:val="hybridMultilevel"/>
    <w:tmpl w:val="22CC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830"/>
    <w:multiLevelType w:val="hybridMultilevel"/>
    <w:tmpl w:val="94BC5702"/>
    <w:lvl w:ilvl="0" w:tplc="4C967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235"/>
    <w:multiLevelType w:val="hybridMultilevel"/>
    <w:tmpl w:val="9D7C117A"/>
    <w:lvl w:ilvl="0" w:tplc="C442A4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2AD39E8"/>
    <w:multiLevelType w:val="multilevel"/>
    <w:tmpl w:val="81ECA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CF44BA"/>
    <w:multiLevelType w:val="hybridMultilevel"/>
    <w:tmpl w:val="0FD4B22C"/>
    <w:lvl w:ilvl="0" w:tplc="CDBAFB4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FFFFFFF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5">
    <w:nsid w:val="49E813F7"/>
    <w:multiLevelType w:val="hybridMultilevel"/>
    <w:tmpl w:val="B6AA148A"/>
    <w:lvl w:ilvl="0" w:tplc="EFAC1A06">
      <w:start w:val="3"/>
      <w:numFmt w:val="decimal"/>
      <w:lvlText w:val="%1."/>
      <w:lvlJc w:val="left"/>
      <w:pPr>
        <w:ind w:left="1350" w:hanging="360"/>
      </w:pPr>
      <w:rPr>
        <w:rFonts w:hint="default"/>
        <w:i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DF57F9C"/>
    <w:multiLevelType w:val="hybridMultilevel"/>
    <w:tmpl w:val="4BEAC8B6"/>
    <w:lvl w:ilvl="0" w:tplc="A8E603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6804285"/>
    <w:multiLevelType w:val="hybridMultilevel"/>
    <w:tmpl w:val="9214AED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6CC03EC1"/>
    <w:multiLevelType w:val="multilevel"/>
    <w:tmpl w:val="0AC6A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2"/>
        </w:tabs>
        <w:ind w:left="2362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3"/>
        </w:tabs>
        <w:ind w:left="2493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4"/>
        </w:tabs>
        <w:ind w:left="2624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9">
    <w:nsid w:val="7F287FAC"/>
    <w:multiLevelType w:val="hybridMultilevel"/>
    <w:tmpl w:val="685293F8"/>
    <w:lvl w:ilvl="0" w:tplc="3296EC9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B"/>
    <w:rsid w:val="000079D8"/>
    <w:rsid w:val="00025804"/>
    <w:rsid w:val="00070883"/>
    <w:rsid w:val="00151DD2"/>
    <w:rsid w:val="001C5739"/>
    <w:rsid w:val="00315303"/>
    <w:rsid w:val="003F27DC"/>
    <w:rsid w:val="00451F99"/>
    <w:rsid w:val="0049734B"/>
    <w:rsid w:val="004A17DB"/>
    <w:rsid w:val="004D2159"/>
    <w:rsid w:val="0053499B"/>
    <w:rsid w:val="00544F6F"/>
    <w:rsid w:val="005A0F6A"/>
    <w:rsid w:val="00630855"/>
    <w:rsid w:val="006619FC"/>
    <w:rsid w:val="006A757F"/>
    <w:rsid w:val="0072485E"/>
    <w:rsid w:val="00944D39"/>
    <w:rsid w:val="00983B32"/>
    <w:rsid w:val="00992161"/>
    <w:rsid w:val="00A45177"/>
    <w:rsid w:val="00A57244"/>
    <w:rsid w:val="00C43C30"/>
    <w:rsid w:val="00CA7E14"/>
    <w:rsid w:val="00D64640"/>
    <w:rsid w:val="00DD4F4D"/>
    <w:rsid w:val="00E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autoRedefine/>
    <w:uiPriority w:val="99"/>
    <w:qFormat/>
    <w:rsid w:val="00315303"/>
    <w:pPr>
      <w:keepNext/>
      <w:tabs>
        <w:tab w:val="left" w:pos="374"/>
      </w:tabs>
      <w:ind w:right="266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34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3499B"/>
  </w:style>
  <w:style w:type="paragraph" w:styleId="a3">
    <w:name w:val="List Paragraph"/>
    <w:basedOn w:val="a"/>
    <w:uiPriority w:val="34"/>
    <w:qFormat/>
    <w:rsid w:val="00C43C30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51DD2"/>
    <w:pPr>
      <w:spacing w:after="120"/>
      <w:ind w:left="283"/>
    </w:pPr>
    <w:rPr>
      <w:sz w:val="16"/>
      <w:szCs w:val="16"/>
      <w:lang w:val="en-AU"/>
    </w:rPr>
  </w:style>
  <w:style w:type="character" w:customStyle="1" w:styleId="32">
    <w:name w:val="Основен текст с отстъп 3 Знак"/>
    <w:basedOn w:val="a0"/>
    <w:link w:val="31"/>
    <w:uiPriority w:val="99"/>
    <w:rsid w:val="00151DD2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Заглавие 3 Знак"/>
    <w:basedOn w:val="a0"/>
    <w:link w:val="3"/>
    <w:uiPriority w:val="99"/>
    <w:rsid w:val="0031530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No Spacing"/>
    <w:uiPriority w:val="1"/>
    <w:qFormat/>
    <w:rsid w:val="0098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autoRedefine/>
    <w:uiPriority w:val="99"/>
    <w:qFormat/>
    <w:rsid w:val="00315303"/>
    <w:pPr>
      <w:keepNext/>
      <w:tabs>
        <w:tab w:val="left" w:pos="374"/>
      </w:tabs>
      <w:ind w:right="266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34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3499B"/>
  </w:style>
  <w:style w:type="paragraph" w:styleId="a3">
    <w:name w:val="List Paragraph"/>
    <w:basedOn w:val="a"/>
    <w:uiPriority w:val="34"/>
    <w:qFormat/>
    <w:rsid w:val="00C43C30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51DD2"/>
    <w:pPr>
      <w:spacing w:after="120"/>
      <w:ind w:left="283"/>
    </w:pPr>
    <w:rPr>
      <w:sz w:val="16"/>
      <w:szCs w:val="16"/>
      <w:lang w:val="en-AU"/>
    </w:rPr>
  </w:style>
  <w:style w:type="character" w:customStyle="1" w:styleId="32">
    <w:name w:val="Основен текст с отстъп 3 Знак"/>
    <w:basedOn w:val="a0"/>
    <w:link w:val="31"/>
    <w:uiPriority w:val="99"/>
    <w:rsid w:val="00151DD2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Заглавие 3 Знак"/>
    <w:basedOn w:val="a0"/>
    <w:link w:val="3"/>
    <w:uiPriority w:val="99"/>
    <w:rsid w:val="0031530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No Spacing"/>
    <w:uiPriority w:val="1"/>
    <w:qFormat/>
    <w:rsid w:val="0098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2015-05-12T06:53:00Z</cp:lastPrinted>
  <dcterms:created xsi:type="dcterms:W3CDTF">2015-05-13T14:06:00Z</dcterms:created>
  <dcterms:modified xsi:type="dcterms:W3CDTF">2015-05-13T14:06:00Z</dcterms:modified>
</cp:coreProperties>
</file>